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7D8B" w14:textId="77777777" w:rsidR="001562E9" w:rsidRDefault="001562E9" w:rsidP="001562E9">
      <w:pPr>
        <w:spacing w:after="0" w:line="240" w:lineRule="auto"/>
        <w:jc w:val="center"/>
        <w:rPr>
          <w:rFonts w:ascii="Calibri" w:eastAsia="Calibri" w:hAnsi="Calibri" w:cs="Times New Roman"/>
        </w:rPr>
      </w:pPr>
      <w:r w:rsidRPr="00FA13FA">
        <w:rPr>
          <w:rFonts w:ascii="Calibri" w:eastAsia="Calibri" w:hAnsi="Calibri" w:cs="Times New Roman"/>
          <w:highlight w:val="yellow"/>
        </w:rPr>
        <w:t>[DATE]</w:t>
      </w:r>
    </w:p>
    <w:p w14:paraId="42BF0BB9" w14:textId="77777777" w:rsidR="001562E9" w:rsidRDefault="001562E9" w:rsidP="001562E9">
      <w:pPr>
        <w:spacing w:after="0" w:line="240" w:lineRule="auto"/>
        <w:rPr>
          <w:rFonts w:ascii="Calibri" w:eastAsia="Calibri" w:hAnsi="Calibri" w:cs="Times New Roman"/>
        </w:rPr>
      </w:pPr>
    </w:p>
    <w:p w14:paraId="363183F6" w14:textId="77777777" w:rsidR="001562E9" w:rsidRDefault="001562E9" w:rsidP="001562E9">
      <w:pPr>
        <w:spacing w:after="0" w:line="240" w:lineRule="auto"/>
        <w:rPr>
          <w:rFonts w:ascii="Calibri" w:eastAsia="Calibri" w:hAnsi="Calibri" w:cs="Times New Roman"/>
        </w:rPr>
      </w:pPr>
    </w:p>
    <w:p w14:paraId="24A04059" w14:textId="77777777" w:rsidR="001562E9" w:rsidRDefault="001562E9" w:rsidP="001562E9">
      <w:pPr>
        <w:spacing w:after="0" w:line="240" w:lineRule="auto"/>
        <w:rPr>
          <w:rFonts w:ascii="Calibri" w:eastAsia="Calibri" w:hAnsi="Calibri" w:cs="Times New Roman"/>
        </w:rPr>
      </w:pPr>
    </w:p>
    <w:p w14:paraId="32D150DA" w14:textId="77777777" w:rsidR="001562E9" w:rsidRPr="001562E9" w:rsidRDefault="001562E9" w:rsidP="001562E9">
      <w:pPr>
        <w:spacing w:after="0" w:line="240" w:lineRule="auto"/>
        <w:rPr>
          <w:rFonts w:ascii="Calibri" w:eastAsia="Calibri" w:hAnsi="Calibri" w:cs="Times New Roman"/>
        </w:rPr>
      </w:pPr>
      <w:r>
        <w:rPr>
          <w:rFonts w:ascii="Calibri" w:eastAsia="Calibri" w:hAnsi="Calibri" w:cs="Times New Roman"/>
        </w:rPr>
        <w:t>Seema Verma</w:t>
      </w:r>
    </w:p>
    <w:p w14:paraId="23178FB7" w14:textId="77777777" w:rsidR="001562E9" w:rsidRP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Administrator</w:t>
      </w:r>
    </w:p>
    <w:p w14:paraId="59F1351F" w14:textId="77777777" w:rsidR="001562E9" w:rsidRP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 xml:space="preserve">Centers for Medicare &amp; Medicaid Services </w:t>
      </w:r>
    </w:p>
    <w:p w14:paraId="158FD7B5" w14:textId="77777777" w:rsid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Department of Health and Human Services</w:t>
      </w:r>
    </w:p>
    <w:p w14:paraId="4A52EE61" w14:textId="77777777" w:rsidR="00B56751" w:rsidRPr="001562E9" w:rsidRDefault="00B56751" w:rsidP="001562E9">
      <w:pPr>
        <w:spacing w:after="0" w:line="240" w:lineRule="auto"/>
        <w:rPr>
          <w:rFonts w:ascii="Calibri" w:eastAsia="Calibri" w:hAnsi="Calibri" w:cs="Times New Roman"/>
        </w:rPr>
      </w:pPr>
      <w:r>
        <w:rPr>
          <w:rFonts w:ascii="Calibri" w:eastAsia="Calibri" w:hAnsi="Calibri" w:cs="Times New Roman"/>
        </w:rPr>
        <w:t>Attention:  CMS-3347-P</w:t>
      </w:r>
    </w:p>
    <w:p w14:paraId="6A8FDED8" w14:textId="77777777" w:rsidR="001562E9" w:rsidRDefault="001562E9" w:rsidP="001562E9">
      <w:pPr>
        <w:spacing w:after="0" w:line="240" w:lineRule="auto"/>
        <w:rPr>
          <w:rFonts w:ascii="Calibri" w:eastAsia="Calibri" w:hAnsi="Calibri" w:cs="Times New Roman"/>
        </w:rPr>
      </w:pPr>
      <w:r>
        <w:rPr>
          <w:rFonts w:ascii="Calibri" w:eastAsia="Calibri" w:hAnsi="Calibri" w:cs="Times New Roman"/>
        </w:rPr>
        <w:t>P.O. Box 8010</w:t>
      </w:r>
    </w:p>
    <w:p w14:paraId="2C64FBFB" w14:textId="77777777" w:rsidR="001562E9" w:rsidRPr="001562E9" w:rsidRDefault="001562E9" w:rsidP="001562E9">
      <w:pPr>
        <w:spacing w:after="0" w:line="240" w:lineRule="auto"/>
        <w:rPr>
          <w:rFonts w:ascii="Calibri" w:eastAsia="Calibri" w:hAnsi="Calibri" w:cs="Times New Roman"/>
        </w:rPr>
      </w:pPr>
      <w:r>
        <w:rPr>
          <w:rFonts w:ascii="Calibri" w:eastAsia="Calibri" w:hAnsi="Calibri" w:cs="Times New Roman"/>
        </w:rPr>
        <w:t xml:space="preserve">Baltimore, </w:t>
      </w:r>
      <w:proofErr w:type="gramStart"/>
      <w:r>
        <w:rPr>
          <w:rFonts w:ascii="Calibri" w:eastAsia="Calibri" w:hAnsi="Calibri" w:cs="Times New Roman"/>
        </w:rPr>
        <w:t>Maryland  21244</w:t>
      </w:r>
      <w:proofErr w:type="gramEnd"/>
    </w:p>
    <w:p w14:paraId="39239B29" w14:textId="77777777" w:rsidR="001562E9" w:rsidRPr="001562E9" w:rsidRDefault="001562E9" w:rsidP="001562E9">
      <w:pPr>
        <w:spacing w:after="0" w:line="240" w:lineRule="auto"/>
        <w:rPr>
          <w:rFonts w:ascii="Calibri" w:eastAsia="Calibri" w:hAnsi="Calibri" w:cs="Times New Roman"/>
          <w:b/>
        </w:rPr>
      </w:pPr>
    </w:p>
    <w:p w14:paraId="2604389B" w14:textId="77777777" w:rsidR="001562E9" w:rsidRPr="001562E9" w:rsidRDefault="001562E9" w:rsidP="001562E9">
      <w:pPr>
        <w:spacing w:after="0" w:line="240" w:lineRule="auto"/>
        <w:ind w:left="1440" w:hanging="720"/>
        <w:rPr>
          <w:rFonts w:ascii="Calibri" w:eastAsia="Calibri" w:hAnsi="Calibri" w:cs="Times New Roman"/>
          <w:b/>
        </w:rPr>
      </w:pPr>
      <w:r w:rsidRPr="001562E9">
        <w:rPr>
          <w:rFonts w:ascii="Calibri" w:eastAsia="Calibri" w:hAnsi="Calibri" w:cs="Times New Roman"/>
          <w:b/>
        </w:rPr>
        <w:t>Re:</w:t>
      </w:r>
      <w:r w:rsidRPr="001562E9">
        <w:rPr>
          <w:rFonts w:ascii="Calibri" w:eastAsia="Calibri" w:hAnsi="Calibri" w:cs="Times New Roman"/>
          <w:b/>
        </w:rPr>
        <w:tab/>
        <w:t>Medicare and Medicaid Programs;</w:t>
      </w:r>
      <w:r w:rsidR="00B56751">
        <w:rPr>
          <w:rFonts w:ascii="Calibri" w:eastAsia="Calibri" w:hAnsi="Calibri" w:cs="Times New Roman"/>
          <w:b/>
        </w:rPr>
        <w:t xml:space="preserve"> Requirements for Long-Term Care Facilities</w:t>
      </w:r>
    </w:p>
    <w:p w14:paraId="0AFC5B71" w14:textId="77777777" w:rsidR="001562E9" w:rsidRPr="001562E9" w:rsidRDefault="00B56751" w:rsidP="001562E9">
      <w:pPr>
        <w:spacing w:after="0" w:line="240" w:lineRule="auto"/>
        <w:ind w:left="720" w:firstLine="720"/>
        <w:rPr>
          <w:rFonts w:ascii="Calibri" w:eastAsia="Calibri" w:hAnsi="Calibri" w:cs="Times New Roman"/>
          <w:b/>
        </w:rPr>
      </w:pPr>
      <w:r>
        <w:rPr>
          <w:rFonts w:ascii="Calibri" w:eastAsia="Calibri" w:hAnsi="Calibri" w:cs="Times New Roman"/>
          <w:b/>
        </w:rPr>
        <w:t>CMS-3347</w:t>
      </w:r>
      <w:r w:rsidR="001562E9" w:rsidRPr="001562E9">
        <w:rPr>
          <w:rFonts w:ascii="Calibri" w:eastAsia="Calibri" w:hAnsi="Calibri" w:cs="Times New Roman"/>
          <w:b/>
        </w:rPr>
        <w:t>-P</w:t>
      </w:r>
    </w:p>
    <w:p w14:paraId="0E4CBC52" w14:textId="77777777" w:rsidR="001562E9" w:rsidRPr="001562E9" w:rsidRDefault="001562E9" w:rsidP="001562E9">
      <w:pPr>
        <w:spacing w:after="0" w:line="240" w:lineRule="auto"/>
        <w:rPr>
          <w:rFonts w:ascii="Calibri" w:eastAsia="Calibri" w:hAnsi="Calibri" w:cs="Times New Roman"/>
          <w:b/>
        </w:rPr>
      </w:pPr>
    </w:p>
    <w:p w14:paraId="30E14718" w14:textId="77777777" w:rsidR="001562E9" w:rsidRPr="001562E9" w:rsidRDefault="001562E9" w:rsidP="001562E9">
      <w:pPr>
        <w:spacing w:after="0" w:line="240" w:lineRule="auto"/>
        <w:ind w:left="720" w:firstLine="720"/>
        <w:rPr>
          <w:rFonts w:ascii="Calibri" w:eastAsia="Calibri" w:hAnsi="Calibri" w:cs="Times New Roman"/>
          <w:b/>
        </w:rPr>
      </w:pPr>
      <w:r w:rsidRPr="001562E9">
        <w:rPr>
          <w:rFonts w:ascii="Calibri" w:eastAsia="Calibri" w:hAnsi="Calibri" w:cs="Times New Roman"/>
          <w:b/>
        </w:rPr>
        <w:t xml:space="preserve">Submitted electronically:  </w:t>
      </w:r>
      <w:hyperlink r:id="rId8" w:history="1">
        <w:r w:rsidRPr="001562E9">
          <w:rPr>
            <w:rFonts w:ascii="Calibri" w:eastAsia="Calibri" w:hAnsi="Calibri" w:cs="Times New Roman"/>
            <w:b/>
            <w:color w:val="0563C1"/>
            <w:u w:val="single"/>
          </w:rPr>
          <w:t>http://www.regulations.gov</w:t>
        </w:r>
      </w:hyperlink>
    </w:p>
    <w:p w14:paraId="4D712B20" w14:textId="77777777" w:rsidR="001562E9" w:rsidRPr="001562E9" w:rsidRDefault="001562E9" w:rsidP="001562E9">
      <w:pPr>
        <w:spacing w:line="240" w:lineRule="auto"/>
        <w:rPr>
          <w:rFonts w:ascii="Calibri" w:eastAsia="Calibri" w:hAnsi="Calibri" w:cs="Times New Roman"/>
        </w:rPr>
      </w:pPr>
    </w:p>
    <w:p w14:paraId="09904870" w14:textId="5219D057" w:rsidR="001562E9" w:rsidRPr="001562E9" w:rsidRDefault="001562E9" w:rsidP="001562E9">
      <w:pPr>
        <w:spacing w:line="240" w:lineRule="auto"/>
        <w:rPr>
          <w:rFonts w:ascii="Calibri" w:eastAsia="Calibri" w:hAnsi="Calibri" w:cs="Times New Roman"/>
        </w:rPr>
      </w:pPr>
      <w:r>
        <w:rPr>
          <w:rFonts w:ascii="Calibri" w:eastAsia="Calibri" w:hAnsi="Calibri" w:cs="Times New Roman"/>
        </w:rPr>
        <w:t xml:space="preserve">Dear </w:t>
      </w:r>
      <w:proofErr w:type="gramStart"/>
      <w:r>
        <w:rPr>
          <w:rFonts w:ascii="Calibri" w:eastAsia="Calibri" w:hAnsi="Calibri" w:cs="Times New Roman"/>
        </w:rPr>
        <w:t>Administrator</w:t>
      </w:r>
      <w:proofErr w:type="gramEnd"/>
      <w:r>
        <w:rPr>
          <w:rFonts w:ascii="Calibri" w:eastAsia="Calibri" w:hAnsi="Calibri" w:cs="Times New Roman"/>
        </w:rPr>
        <w:t xml:space="preserve"> Verma</w:t>
      </w:r>
      <w:r w:rsidRPr="001562E9">
        <w:rPr>
          <w:rFonts w:ascii="Calibri" w:eastAsia="Calibri" w:hAnsi="Calibri" w:cs="Times New Roman"/>
        </w:rPr>
        <w:t xml:space="preserve">: </w:t>
      </w:r>
    </w:p>
    <w:p w14:paraId="7F37B40B" w14:textId="6F484979" w:rsidR="008D002D" w:rsidRPr="008D002D" w:rsidRDefault="008D002D" w:rsidP="008D002D">
      <w:pPr>
        <w:spacing w:line="240" w:lineRule="auto"/>
        <w:rPr>
          <w:rFonts w:ascii="Calibri" w:eastAsia="Calibri" w:hAnsi="Calibri" w:cs="Times New Roman"/>
        </w:rPr>
      </w:pPr>
      <w:r w:rsidRPr="008D002D">
        <w:rPr>
          <w:rFonts w:ascii="Calibri" w:eastAsia="Calibri" w:hAnsi="Calibri" w:cs="Times New Roman"/>
          <w:highlight w:val="yellow"/>
        </w:rPr>
        <w:t xml:space="preserve">[Brief </w:t>
      </w:r>
      <w:r w:rsidRPr="00FC2DB7">
        <w:rPr>
          <w:rFonts w:ascii="Calibri" w:eastAsia="Calibri" w:hAnsi="Calibri" w:cs="Times New Roman"/>
          <w:highlight w:val="yellow"/>
        </w:rPr>
        <w:t xml:space="preserve">introduction of </w:t>
      </w:r>
      <w:r w:rsidR="00FC2DB7" w:rsidRPr="00FC2DB7">
        <w:rPr>
          <w:highlight w:val="yellow"/>
        </w:rPr>
        <w:t>who you are (resident/family member, individual advocate</w:t>
      </w:r>
      <w:r w:rsidR="00FC2DB7" w:rsidRPr="00FC2DB7">
        <w:rPr>
          <w:highlight w:val="yellow"/>
        </w:rPr>
        <w:t xml:space="preserve">) </w:t>
      </w:r>
      <w:r w:rsidRPr="00FC2DB7">
        <w:rPr>
          <w:rFonts w:ascii="Calibri" w:eastAsia="Calibri" w:hAnsi="Calibri" w:cs="Times New Roman"/>
          <w:highlight w:val="yellow"/>
        </w:rPr>
        <w:t xml:space="preserve">with </w:t>
      </w:r>
      <w:r w:rsidRPr="008D002D">
        <w:rPr>
          <w:rFonts w:ascii="Calibri" w:eastAsia="Calibri" w:hAnsi="Calibri" w:cs="Times New Roman"/>
          <w:highlight w:val="yellow"/>
        </w:rPr>
        <w:t xml:space="preserve">explanation of why </w:t>
      </w:r>
      <w:r w:rsidR="00FC2DB7">
        <w:rPr>
          <w:rFonts w:ascii="Calibri" w:eastAsia="Calibri" w:hAnsi="Calibri" w:cs="Times New Roman"/>
          <w:highlight w:val="yellow"/>
        </w:rPr>
        <w:t xml:space="preserve">you are </w:t>
      </w:r>
      <w:r w:rsidRPr="008D002D">
        <w:rPr>
          <w:rFonts w:ascii="Calibri" w:eastAsia="Calibri" w:hAnsi="Calibri" w:cs="Times New Roman"/>
          <w:highlight w:val="yellow"/>
        </w:rPr>
        <w:t>intere</w:t>
      </w:r>
      <w:r w:rsidR="003475A2">
        <w:rPr>
          <w:rFonts w:ascii="Calibri" w:eastAsia="Calibri" w:hAnsi="Calibri" w:cs="Times New Roman"/>
          <w:highlight w:val="yellow"/>
        </w:rPr>
        <w:t>sted in the federal nursing facility</w:t>
      </w:r>
      <w:r w:rsidRPr="008D002D">
        <w:rPr>
          <w:rFonts w:ascii="Calibri" w:eastAsia="Calibri" w:hAnsi="Calibri" w:cs="Times New Roman"/>
          <w:highlight w:val="yellow"/>
        </w:rPr>
        <w:t xml:space="preserve"> regulations.]</w:t>
      </w:r>
      <w:r w:rsidRPr="008D002D">
        <w:rPr>
          <w:rFonts w:ascii="Calibri" w:eastAsia="Calibri" w:hAnsi="Calibri" w:cs="Times New Roman"/>
        </w:rPr>
        <w:t xml:space="preserve">  </w:t>
      </w:r>
    </w:p>
    <w:p w14:paraId="17031584" w14:textId="45B3D8E4" w:rsidR="002833F7" w:rsidRPr="002A7279" w:rsidRDefault="00FC2DB7" w:rsidP="002833F7">
      <w:r>
        <w:t>I</w:t>
      </w:r>
      <w:r w:rsidR="002833F7" w:rsidRPr="002A7279">
        <w:t xml:space="preserve"> appreciate the opportunity to comment on the proposed cha</w:t>
      </w:r>
      <w:r w:rsidR="003475A2" w:rsidRPr="002A7279">
        <w:t>nges to the federal nursing facility</w:t>
      </w:r>
      <w:r w:rsidR="002833F7" w:rsidRPr="002A7279">
        <w:t xml:space="preserve"> regulations.  As expl</w:t>
      </w:r>
      <w:r w:rsidR="00E1159D" w:rsidRPr="002A7279">
        <w:t xml:space="preserve">ained in more detail below, </w:t>
      </w:r>
      <w:r>
        <w:t>I</w:t>
      </w:r>
      <w:r w:rsidR="002833F7" w:rsidRPr="002A7279">
        <w:t xml:space="preserve"> object to several of the proposed changes,</w:t>
      </w:r>
      <w:r w:rsidR="00E1159D" w:rsidRPr="002A7279">
        <w:t xml:space="preserve"> and offer suggestions that </w:t>
      </w:r>
      <w:r>
        <w:t>I</w:t>
      </w:r>
      <w:r w:rsidR="002833F7" w:rsidRPr="002A7279">
        <w:t xml:space="preserve"> feel would improve quality of care and quality of</w:t>
      </w:r>
      <w:r w:rsidR="003475A2" w:rsidRPr="002A7279">
        <w:t xml:space="preserve"> life for America’s nursing facility</w:t>
      </w:r>
      <w:r w:rsidR="002833F7" w:rsidRPr="002A7279">
        <w:t xml:space="preserve"> residents.</w:t>
      </w:r>
    </w:p>
    <w:p w14:paraId="6C5D24D2" w14:textId="445A6FB1" w:rsidR="002833F7" w:rsidRPr="002A7279" w:rsidRDefault="00FC2DB7" w:rsidP="002833F7">
      <w:r>
        <w:t>I</w:t>
      </w:r>
      <w:r w:rsidR="002833F7" w:rsidRPr="002A7279">
        <w:t xml:space="preserve"> </w:t>
      </w:r>
      <w:r>
        <w:t>am</w:t>
      </w:r>
      <w:r w:rsidR="002833F7" w:rsidRPr="002A7279">
        <w:t xml:space="preserve"> concerned that an undue focus on “provider</w:t>
      </w:r>
      <w:r w:rsidR="003475A2" w:rsidRPr="002A7279">
        <w:t xml:space="preserve"> burden” could harm nursing facility residents.  Nursing facility</w:t>
      </w:r>
      <w:r w:rsidR="002833F7" w:rsidRPr="002A7279">
        <w:t xml:space="preserve"> operators already have significant flexibility in how they provide care.</w:t>
      </w:r>
    </w:p>
    <w:p w14:paraId="4C5A6B26" w14:textId="77777777" w:rsidR="002833F7" w:rsidRPr="002A7279" w:rsidRDefault="002833F7" w:rsidP="002833F7">
      <w:r w:rsidRPr="002A7279">
        <w:t xml:space="preserve">Furthermore, residents need the protections in the current regulations more than ever before. Over the years, residents have become </w:t>
      </w:r>
      <w:r w:rsidR="00973CC4" w:rsidRPr="002A7279">
        <w:t>frailer and more dependent</w:t>
      </w:r>
      <w:r w:rsidRPr="002A7279">
        <w:t xml:space="preserve">, and the majority have dementia. Increased physical and cognitive impairments mean residents need more care and are more vulnerable to abuse and neglect.  Any revisions to the regulations should only be made if they improve resident protections, not reduce them. </w:t>
      </w:r>
    </w:p>
    <w:p w14:paraId="43CD6925" w14:textId="2B576C5C" w:rsidR="002833F7" w:rsidRPr="002A7279" w:rsidRDefault="00FC2DB7" w:rsidP="002833F7">
      <w:r>
        <w:t>My</w:t>
      </w:r>
      <w:r w:rsidR="002833F7" w:rsidRPr="002A7279">
        <w:t xml:space="preserve"> detailed recommendations are presented below.</w:t>
      </w:r>
    </w:p>
    <w:p w14:paraId="3A479033" w14:textId="77777777" w:rsidR="00226D9E" w:rsidRPr="002A7279" w:rsidRDefault="00226D9E" w:rsidP="002833F7"/>
    <w:p w14:paraId="6673D39C" w14:textId="77777777" w:rsidR="00093CAF" w:rsidRPr="002A7279" w:rsidRDefault="00093CAF" w:rsidP="00661E16">
      <w:pPr>
        <w:rPr>
          <w:rFonts w:eastAsia="Calibri" w:cs="Times New Roman"/>
          <w:b/>
        </w:rPr>
      </w:pPr>
      <w:r w:rsidRPr="002A7279">
        <w:rPr>
          <w:rFonts w:eastAsia="Calibri" w:cs="Times New Roman"/>
          <w:b/>
        </w:rPr>
        <w:t xml:space="preserve">PROVIDING RESIDENT WITH CONTACT INFORMATION FOR </w:t>
      </w:r>
      <w:r w:rsidR="00DC22E3" w:rsidRPr="002A7279">
        <w:rPr>
          <w:rFonts w:eastAsia="Calibri" w:cs="Times New Roman"/>
          <w:b/>
        </w:rPr>
        <w:t>PHYSICIAN</w:t>
      </w:r>
      <w:r w:rsidRPr="002A7279">
        <w:rPr>
          <w:rFonts w:eastAsia="Calibri" w:cs="Times New Roman"/>
          <w:b/>
        </w:rPr>
        <w:t xml:space="preserve">S </w:t>
      </w:r>
      <w:r w:rsidR="00661E16" w:rsidRPr="002A7279">
        <w:rPr>
          <w:rFonts w:eastAsia="Calibri" w:cs="Times New Roman"/>
          <w:b/>
        </w:rPr>
        <w:t>(Section 483.10(d))</w:t>
      </w:r>
    </w:p>
    <w:p w14:paraId="0489F4C5" w14:textId="03995F50" w:rsidR="00661E16" w:rsidRPr="002A7279" w:rsidRDefault="00FC2DB7" w:rsidP="00661E16">
      <w:pPr>
        <w:rPr>
          <w:rFonts w:eastAsia="Calibri" w:cs="Times New Roman"/>
        </w:rPr>
      </w:pPr>
      <w:r>
        <w:rPr>
          <w:rFonts w:eastAsia="Calibri" w:cs="Times New Roman"/>
          <w:b/>
        </w:rPr>
        <w:t>I</w:t>
      </w:r>
      <w:r w:rsidR="00093CAF" w:rsidRPr="002A7279">
        <w:rPr>
          <w:rFonts w:eastAsia="Calibri" w:cs="Times New Roman"/>
          <w:b/>
        </w:rPr>
        <w:t xml:space="preserve"> recommend retaining most current requirements.</w:t>
      </w:r>
    </w:p>
    <w:p w14:paraId="3B7FEF07" w14:textId="0CF8E49C" w:rsidR="004D2A12" w:rsidRPr="002A7279" w:rsidRDefault="00FC2DB7" w:rsidP="004D2A12">
      <w:r>
        <w:rPr>
          <w:rFonts w:eastAsia="Calibri" w:cs="Times New Roman"/>
        </w:rPr>
        <w:t>I</w:t>
      </w:r>
      <w:r w:rsidR="004D2A12" w:rsidRPr="002A7279">
        <w:rPr>
          <w:rFonts w:eastAsia="Calibri" w:cs="Times New Roman"/>
        </w:rPr>
        <w:t xml:space="preserve"> believe residents should always have up-to-date contact information regarding their attending physician and that the regulations should retain a resident’s right to have the same access to contact information for “other” professionals (e.g. psychiatrists, therapists, etc.).  This allows r</w:t>
      </w:r>
      <w:r w:rsidR="004D2A12" w:rsidRPr="002A7279">
        <w:t>esidents to contact their providers when they wish, without having to request and then possibly wait to obtain this information.</w:t>
      </w:r>
    </w:p>
    <w:p w14:paraId="3601A1A1" w14:textId="5ED360BE" w:rsidR="004D2A12" w:rsidRPr="002A7279" w:rsidRDefault="004D2A12" w:rsidP="004D2A12">
      <w:r w:rsidRPr="002A7279">
        <w:rPr>
          <w:rFonts w:eastAsia="Calibri" w:cs="Times New Roman"/>
        </w:rPr>
        <w:lastRenderedPageBreak/>
        <w:t xml:space="preserve">Because </w:t>
      </w:r>
      <w:r w:rsidR="00FF4E63" w:rsidRPr="002A7279">
        <w:rPr>
          <w:rFonts w:eastAsia="Calibri" w:cs="Times New Roman"/>
        </w:rPr>
        <w:t xml:space="preserve">the term </w:t>
      </w:r>
      <w:r w:rsidRPr="002A7279">
        <w:rPr>
          <w:rFonts w:eastAsia="Calibri" w:cs="Times New Roman"/>
        </w:rPr>
        <w:t xml:space="preserve">“remains informed” </w:t>
      </w:r>
      <w:r w:rsidR="00FF4E63" w:rsidRPr="002A7279">
        <w:rPr>
          <w:rFonts w:eastAsia="Calibri" w:cs="Times New Roman"/>
        </w:rPr>
        <w:t>has some ambiguity</w:t>
      </w:r>
      <w:r w:rsidRPr="002A7279">
        <w:rPr>
          <w:rFonts w:eastAsia="Calibri" w:cs="Times New Roman"/>
        </w:rPr>
        <w:t xml:space="preserve">, </w:t>
      </w:r>
      <w:r w:rsidR="00FC2DB7">
        <w:rPr>
          <w:rFonts w:eastAsia="Calibri" w:cs="Times New Roman"/>
        </w:rPr>
        <w:t>I</w:t>
      </w:r>
      <w:r w:rsidRPr="002A7279">
        <w:rPr>
          <w:rFonts w:eastAsia="Calibri" w:cs="Times New Roman"/>
        </w:rPr>
        <w:t xml:space="preserve"> agree with the</w:t>
      </w:r>
      <w:r w:rsidR="00A9032D" w:rsidRPr="002A7279">
        <w:rPr>
          <w:rFonts w:eastAsia="Calibri" w:cs="Times New Roman"/>
        </w:rPr>
        <w:t xml:space="preserve"> greater</w:t>
      </w:r>
      <w:r w:rsidRPr="002A7279">
        <w:rPr>
          <w:rFonts w:eastAsia="Calibri" w:cs="Times New Roman"/>
        </w:rPr>
        <w:t xml:space="preserve"> specificity provided by </w:t>
      </w:r>
      <w:r w:rsidR="00A9032D" w:rsidRPr="002A7279">
        <w:rPr>
          <w:rFonts w:eastAsia="Calibri" w:cs="Times New Roman"/>
        </w:rPr>
        <w:t>a requirem</w:t>
      </w:r>
      <w:r w:rsidR="005F56C9" w:rsidRPr="002A7279">
        <w:rPr>
          <w:rFonts w:eastAsia="Calibri" w:cs="Times New Roman"/>
        </w:rPr>
        <w:t>e</w:t>
      </w:r>
      <w:r w:rsidR="00A9032D" w:rsidRPr="002A7279">
        <w:rPr>
          <w:rFonts w:eastAsia="Calibri" w:cs="Times New Roman"/>
        </w:rPr>
        <w:t>nt that information must be provided at admission, at a change, and upon a resident’s request</w:t>
      </w:r>
      <w:r w:rsidRPr="002A7279">
        <w:rPr>
          <w:rFonts w:eastAsia="Calibri" w:cs="Times New Roman"/>
        </w:rPr>
        <w:t>. The conjunction “and” should be used rather than “or” to make sure that the facility has an obligation in each of these situations.</w:t>
      </w:r>
    </w:p>
    <w:p w14:paraId="77A27F44" w14:textId="77777777" w:rsidR="00850E94" w:rsidRPr="002A7279" w:rsidRDefault="00850E94">
      <w:pPr>
        <w:rPr>
          <w:bCs/>
        </w:rPr>
      </w:pPr>
    </w:p>
    <w:p w14:paraId="2FF9557B" w14:textId="77777777" w:rsidR="00310574" w:rsidRPr="002A7279" w:rsidRDefault="000A5BD0">
      <w:pPr>
        <w:rPr>
          <w:b/>
          <w:bCs/>
        </w:rPr>
      </w:pPr>
      <w:r w:rsidRPr="002A7279">
        <w:rPr>
          <w:b/>
          <w:bCs/>
        </w:rPr>
        <w:t xml:space="preserve">GRIEVANCES </w:t>
      </w:r>
      <w:r w:rsidR="00DC22E3" w:rsidRPr="002A7279">
        <w:rPr>
          <w:b/>
          <w:bCs/>
        </w:rPr>
        <w:t xml:space="preserve">(Section </w:t>
      </w:r>
      <w:r w:rsidR="00310574" w:rsidRPr="002A7279">
        <w:rPr>
          <w:b/>
          <w:bCs/>
        </w:rPr>
        <w:t>483.10(j)</w:t>
      </w:r>
      <w:r w:rsidR="00DC22E3" w:rsidRPr="002A7279">
        <w:rPr>
          <w:b/>
          <w:bCs/>
        </w:rPr>
        <w:t>)</w:t>
      </w:r>
    </w:p>
    <w:p w14:paraId="0B511A3E" w14:textId="3D9D752C" w:rsidR="00BA1882" w:rsidRPr="002A7279" w:rsidRDefault="00FC2DB7">
      <w:pPr>
        <w:rPr>
          <w:b/>
          <w:bCs/>
        </w:rPr>
      </w:pPr>
      <w:r>
        <w:rPr>
          <w:b/>
          <w:bCs/>
        </w:rPr>
        <w:t>I</w:t>
      </w:r>
      <w:r w:rsidR="00BA1882" w:rsidRPr="002A7279">
        <w:rPr>
          <w:b/>
          <w:bCs/>
        </w:rPr>
        <w:t xml:space="preserve"> recommend that</w:t>
      </w:r>
    </w:p>
    <w:p w14:paraId="416865BC" w14:textId="77777777" w:rsidR="00A079F1" w:rsidRPr="002A7279" w:rsidRDefault="00AA3DE6" w:rsidP="00A079F1">
      <w:pPr>
        <w:pStyle w:val="ListParagraph"/>
        <w:numPr>
          <w:ilvl w:val="0"/>
          <w:numId w:val="11"/>
        </w:numPr>
        <w:rPr>
          <w:b/>
          <w:bCs/>
        </w:rPr>
      </w:pPr>
      <w:r w:rsidRPr="002A7279">
        <w:rPr>
          <w:b/>
          <w:bCs/>
        </w:rPr>
        <w:t>Complaints</w:t>
      </w:r>
      <w:r w:rsidR="00850E94" w:rsidRPr="002A7279">
        <w:rPr>
          <w:b/>
          <w:bCs/>
        </w:rPr>
        <w:t xml:space="preserve"> be treated as grievances when they are unreso</w:t>
      </w:r>
      <w:r w:rsidR="00BA1882" w:rsidRPr="002A7279">
        <w:rPr>
          <w:b/>
          <w:bCs/>
        </w:rPr>
        <w:t>lved,</w:t>
      </w:r>
    </w:p>
    <w:p w14:paraId="5D13B363" w14:textId="77777777" w:rsidR="00BA1882" w:rsidRPr="002A7279" w:rsidRDefault="00A079F1" w:rsidP="00CD7050">
      <w:pPr>
        <w:pStyle w:val="ListParagraph"/>
        <w:numPr>
          <w:ilvl w:val="0"/>
          <w:numId w:val="11"/>
        </w:numPr>
        <w:rPr>
          <w:b/>
          <w:bCs/>
        </w:rPr>
      </w:pPr>
      <w:r w:rsidRPr="002A7279">
        <w:rPr>
          <w:b/>
          <w:bCs/>
        </w:rPr>
        <w:t xml:space="preserve">Residents be protected from retaliation </w:t>
      </w:r>
      <w:proofErr w:type="gramStart"/>
      <w:r w:rsidRPr="002A7279">
        <w:rPr>
          <w:b/>
          <w:bCs/>
        </w:rPr>
        <w:t>whether or not</w:t>
      </w:r>
      <w:proofErr w:type="gramEnd"/>
      <w:r w:rsidRPr="002A7279">
        <w:rPr>
          <w:b/>
          <w:bCs/>
        </w:rPr>
        <w:t xml:space="preserve"> a </w:t>
      </w:r>
      <w:r w:rsidR="00AA3DE6" w:rsidRPr="002A7279">
        <w:rPr>
          <w:b/>
          <w:bCs/>
        </w:rPr>
        <w:t>complaint</w:t>
      </w:r>
      <w:r w:rsidRPr="002A7279">
        <w:rPr>
          <w:b/>
          <w:bCs/>
        </w:rPr>
        <w:t xml:space="preserve"> is treated as a grievance,</w:t>
      </w:r>
    </w:p>
    <w:p w14:paraId="57D5D1DA" w14:textId="77777777" w:rsidR="005563A4" w:rsidRPr="002A7279" w:rsidRDefault="005563A4" w:rsidP="00BA1882">
      <w:pPr>
        <w:pStyle w:val="ListParagraph"/>
        <w:numPr>
          <w:ilvl w:val="0"/>
          <w:numId w:val="11"/>
        </w:numPr>
        <w:rPr>
          <w:b/>
          <w:bCs/>
        </w:rPr>
      </w:pPr>
      <w:r w:rsidRPr="002A7279">
        <w:rPr>
          <w:b/>
          <w:bCs/>
        </w:rPr>
        <w:t>Residents be notified of which facility employees to contact regarding grievances,</w:t>
      </w:r>
    </w:p>
    <w:p w14:paraId="40E07FD2" w14:textId="77777777" w:rsidR="00732049" w:rsidRPr="002A7279" w:rsidRDefault="00BA1882" w:rsidP="002D265D">
      <w:pPr>
        <w:pStyle w:val="ListParagraph"/>
        <w:numPr>
          <w:ilvl w:val="0"/>
          <w:numId w:val="11"/>
        </w:numPr>
        <w:rPr>
          <w:b/>
          <w:bCs/>
        </w:rPr>
      </w:pPr>
      <w:r w:rsidRPr="002A7279">
        <w:rPr>
          <w:b/>
          <w:bCs/>
        </w:rPr>
        <w:t>T</w:t>
      </w:r>
      <w:r w:rsidR="00850E94" w:rsidRPr="002A7279">
        <w:rPr>
          <w:b/>
          <w:bCs/>
        </w:rPr>
        <w:t>he regulations retain the specified duties for grievance processing and the specified components of a written grievance decision</w:t>
      </w:r>
      <w:r w:rsidR="00732049" w:rsidRPr="002A7279">
        <w:rPr>
          <w:b/>
          <w:bCs/>
        </w:rPr>
        <w:t>, and</w:t>
      </w:r>
    </w:p>
    <w:p w14:paraId="7F947D24" w14:textId="77777777" w:rsidR="00850E94" w:rsidRPr="002A7279" w:rsidRDefault="00732049" w:rsidP="002D265D">
      <w:pPr>
        <w:pStyle w:val="ListParagraph"/>
        <w:numPr>
          <w:ilvl w:val="0"/>
          <w:numId w:val="11"/>
        </w:numPr>
        <w:rPr>
          <w:b/>
          <w:bCs/>
        </w:rPr>
      </w:pPr>
      <w:r w:rsidRPr="002A7279">
        <w:rPr>
          <w:b/>
          <w:bCs/>
        </w:rPr>
        <w:t>The regulations maintain the requirement that facilities retain grievance decisions for three years</w:t>
      </w:r>
      <w:r w:rsidR="00850E94" w:rsidRPr="002A7279">
        <w:rPr>
          <w:b/>
          <w:bCs/>
        </w:rPr>
        <w:t>.</w:t>
      </w:r>
    </w:p>
    <w:p w14:paraId="7E91D6D2" w14:textId="77777777" w:rsidR="00310574" w:rsidRPr="002A7279" w:rsidRDefault="00A079F1" w:rsidP="00BF248D">
      <w:pPr>
        <w:rPr>
          <w:bCs/>
          <w:u w:val="single"/>
        </w:rPr>
      </w:pPr>
      <w:r w:rsidRPr="002A7279">
        <w:rPr>
          <w:bCs/>
          <w:u w:val="single"/>
        </w:rPr>
        <w:t>Treating Co</w:t>
      </w:r>
      <w:r w:rsidR="00804480" w:rsidRPr="002A7279">
        <w:rPr>
          <w:bCs/>
          <w:u w:val="single"/>
        </w:rPr>
        <w:t>mplaints</w:t>
      </w:r>
      <w:r w:rsidRPr="002A7279">
        <w:rPr>
          <w:bCs/>
          <w:u w:val="single"/>
        </w:rPr>
        <w:t xml:space="preserve"> as Grievances When They Are Unresolved</w:t>
      </w:r>
    </w:p>
    <w:p w14:paraId="3BEB2329" w14:textId="703FAF7B" w:rsidR="00357C60" w:rsidRPr="002A7279" w:rsidRDefault="00FC2DB7" w:rsidP="00357C60">
      <w:pPr>
        <w:rPr>
          <w:rFonts w:cs="Melior"/>
          <w:bCs/>
        </w:rPr>
      </w:pPr>
      <w:r>
        <w:t>I</w:t>
      </w:r>
      <w:r w:rsidR="00E1159D" w:rsidRPr="002A7279">
        <w:t xml:space="preserve"> </w:t>
      </w:r>
      <w:r>
        <w:t>am</w:t>
      </w:r>
      <w:r w:rsidR="00310574" w:rsidRPr="002A7279">
        <w:t xml:space="preserve"> concerned about </w:t>
      </w:r>
      <w:r w:rsidR="007406DC" w:rsidRPr="002A7279">
        <w:t>how</w:t>
      </w:r>
      <w:r w:rsidR="003D7E78" w:rsidRPr="002A7279">
        <w:t xml:space="preserve"> CMS </w:t>
      </w:r>
      <w:r w:rsidR="00017464" w:rsidRPr="002A7279">
        <w:t>propos</w:t>
      </w:r>
      <w:r w:rsidR="007406DC" w:rsidRPr="002A7279">
        <w:t>es</w:t>
      </w:r>
      <w:r w:rsidR="003D7E78" w:rsidRPr="002A7279">
        <w:t xml:space="preserve"> to </w:t>
      </w:r>
      <w:r w:rsidR="007406DC" w:rsidRPr="002A7279">
        <w:t>distinguish</w:t>
      </w:r>
      <w:r w:rsidR="003D7E78" w:rsidRPr="002A7279">
        <w:t xml:space="preserve"> </w:t>
      </w:r>
      <w:r w:rsidRPr="002A7279">
        <w:t>bet</w:t>
      </w:r>
      <w:r>
        <w:t>w</w:t>
      </w:r>
      <w:r w:rsidRPr="002A7279">
        <w:t>een</w:t>
      </w:r>
      <w:r w:rsidR="003D7E78" w:rsidRPr="002A7279">
        <w:t xml:space="preserve"> a grievance and “general feedback.”</w:t>
      </w:r>
      <w:r w:rsidR="00BA1882" w:rsidRPr="002A7279">
        <w:t xml:space="preserve">  </w:t>
      </w:r>
      <w:r>
        <w:t>I</w:t>
      </w:r>
      <w:r w:rsidR="00BA1882" w:rsidRPr="002A7279">
        <w:t xml:space="preserve"> </w:t>
      </w:r>
      <w:r w:rsidR="007A2493" w:rsidRPr="002A7279">
        <w:t>understand that not every co</w:t>
      </w:r>
      <w:r w:rsidR="00804480" w:rsidRPr="002A7279">
        <w:t>mplaint</w:t>
      </w:r>
      <w:r w:rsidR="007A2493" w:rsidRPr="002A7279">
        <w:t xml:space="preserve"> expressed by a resident should be subject to </w:t>
      </w:r>
      <w:r w:rsidR="007406DC" w:rsidRPr="002A7279">
        <w:t>a</w:t>
      </w:r>
      <w:r w:rsidR="007A2493" w:rsidRPr="002A7279">
        <w:t xml:space="preserve"> full grievance </w:t>
      </w:r>
      <w:proofErr w:type="gramStart"/>
      <w:r w:rsidR="007A2493" w:rsidRPr="002A7279">
        <w:t>process</w:t>
      </w:r>
      <w:r w:rsidR="00BA1882" w:rsidRPr="002A7279">
        <w:t>, but</w:t>
      </w:r>
      <w:proofErr w:type="gramEnd"/>
      <w:r w:rsidR="00BA1882" w:rsidRPr="002A7279">
        <w:t xml:space="preserve"> disagree with CMS’s proposal to give a facility great discretion to decide not to treat a complaint as a grievance.  Under CMS’s proposal, </w:t>
      </w:r>
      <w:r w:rsidR="00357C60" w:rsidRPr="002A7279">
        <w:rPr>
          <w:rFonts w:cs="Melior"/>
          <w:bCs/>
        </w:rPr>
        <w:t xml:space="preserve">many </w:t>
      </w:r>
      <w:r w:rsidR="008921C1" w:rsidRPr="002A7279">
        <w:rPr>
          <w:rFonts w:cs="Melior"/>
          <w:bCs/>
        </w:rPr>
        <w:t xml:space="preserve">significant </w:t>
      </w:r>
      <w:r w:rsidR="00BA1882" w:rsidRPr="002A7279">
        <w:rPr>
          <w:rFonts w:cs="Melior"/>
          <w:bCs/>
        </w:rPr>
        <w:t xml:space="preserve">resident concerns </w:t>
      </w:r>
      <w:r w:rsidR="000161BC" w:rsidRPr="002A7279">
        <w:rPr>
          <w:rFonts w:cs="Melior"/>
          <w:bCs/>
        </w:rPr>
        <w:t xml:space="preserve">inevitably </w:t>
      </w:r>
      <w:r w:rsidR="00BA1882" w:rsidRPr="002A7279">
        <w:rPr>
          <w:rFonts w:cs="Melior"/>
          <w:bCs/>
        </w:rPr>
        <w:t>w</w:t>
      </w:r>
      <w:r w:rsidR="00357C60" w:rsidRPr="002A7279">
        <w:rPr>
          <w:rFonts w:cs="Melior"/>
          <w:bCs/>
        </w:rPr>
        <w:t xml:space="preserve">ould be </w:t>
      </w:r>
      <w:r w:rsidR="008921C1" w:rsidRPr="002A7279">
        <w:rPr>
          <w:rFonts w:cs="Melior"/>
          <w:bCs/>
        </w:rPr>
        <w:t xml:space="preserve">improperly </w:t>
      </w:r>
      <w:r w:rsidR="00357C60" w:rsidRPr="002A7279">
        <w:rPr>
          <w:rFonts w:cs="Melior"/>
          <w:bCs/>
        </w:rPr>
        <w:t xml:space="preserve">classified as </w:t>
      </w:r>
      <w:r w:rsidR="00BA1882" w:rsidRPr="002A7279">
        <w:rPr>
          <w:rFonts w:cs="Melior"/>
          <w:bCs/>
        </w:rPr>
        <w:t>“</w:t>
      </w:r>
      <w:r w:rsidR="00357C60" w:rsidRPr="002A7279">
        <w:rPr>
          <w:rFonts w:cs="Melior"/>
          <w:bCs/>
        </w:rPr>
        <w:t>general feedback.</w:t>
      </w:r>
      <w:r w:rsidR="00BA1882" w:rsidRPr="002A7279">
        <w:rPr>
          <w:rFonts w:cs="Melior"/>
          <w:bCs/>
        </w:rPr>
        <w:t>”</w:t>
      </w:r>
      <w:r w:rsidR="00423E41" w:rsidRPr="002A7279">
        <w:rPr>
          <w:rFonts w:cs="Melior"/>
          <w:bCs/>
        </w:rPr>
        <w:t xml:space="preserve"> </w:t>
      </w:r>
    </w:p>
    <w:p w14:paraId="46B0B2E3" w14:textId="45F02923" w:rsidR="00BF248D" w:rsidRPr="002A7279" w:rsidRDefault="00BF248D" w:rsidP="00357C60">
      <w:pPr>
        <w:rPr>
          <w:rFonts w:cs="Melior"/>
          <w:bCs/>
        </w:rPr>
      </w:pPr>
      <w:r w:rsidRPr="002A7279">
        <w:rPr>
          <w:rFonts w:cs="Melior"/>
          <w:bCs/>
        </w:rPr>
        <w:t xml:space="preserve">For distinguishing </w:t>
      </w:r>
      <w:r w:rsidR="00FC2DB7" w:rsidRPr="002A7279">
        <w:rPr>
          <w:rFonts w:cs="Melior"/>
          <w:bCs/>
        </w:rPr>
        <w:t>bet</w:t>
      </w:r>
      <w:r w:rsidR="00FC2DB7">
        <w:rPr>
          <w:rFonts w:cs="Melior"/>
          <w:bCs/>
        </w:rPr>
        <w:t>w</w:t>
      </w:r>
      <w:r w:rsidR="00FC2DB7" w:rsidRPr="002A7279">
        <w:rPr>
          <w:rFonts w:cs="Melior"/>
          <w:bCs/>
        </w:rPr>
        <w:t>een</w:t>
      </w:r>
      <w:r w:rsidRPr="002A7279">
        <w:rPr>
          <w:rFonts w:cs="Melior"/>
          <w:bCs/>
        </w:rPr>
        <w:t xml:space="preserve"> feedback and a grievance, </w:t>
      </w:r>
      <w:r w:rsidR="00FC2DB7">
        <w:rPr>
          <w:rFonts w:cs="Melior"/>
          <w:bCs/>
        </w:rPr>
        <w:t>I</w:t>
      </w:r>
      <w:r w:rsidRPr="002A7279">
        <w:rPr>
          <w:rFonts w:cs="Melior"/>
          <w:bCs/>
        </w:rPr>
        <w:t xml:space="preserve"> propose using the comparable standards in CMS’s hospital guidance.  Under that guidance, a “complaint” is classified as a “grievance” if it “cannot be resolved at the time of the complaint by staff present, is postponed for later resolution, requires investigation, and/or requires further actions for resolution.</w:t>
      </w:r>
      <w:r w:rsidR="003172EE" w:rsidRPr="002A7279">
        <w:rPr>
          <w:rFonts w:cs="Melior"/>
          <w:bCs/>
        </w:rPr>
        <w:t>”</w:t>
      </w:r>
      <w:r w:rsidR="003172EE" w:rsidRPr="002A7279">
        <w:rPr>
          <w:rStyle w:val="FootnoteReference"/>
          <w:rFonts w:cs="Melior"/>
          <w:bCs/>
        </w:rPr>
        <w:footnoteReference w:id="1"/>
      </w:r>
      <w:r w:rsidRPr="002A7279">
        <w:rPr>
          <w:rFonts w:cs="Melior"/>
          <w:bCs/>
        </w:rPr>
        <w:t xml:space="preserve">  Notably, this standard is consistent with CMS’s preamble statement accompanying the proposed regulations</w:t>
      </w:r>
      <w:r w:rsidR="00466481" w:rsidRPr="002A7279">
        <w:rPr>
          <w:rFonts w:cs="Melior"/>
          <w:bCs/>
        </w:rPr>
        <w:t>,</w:t>
      </w:r>
      <w:r w:rsidRPr="002A7279">
        <w:rPr>
          <w:rFonts w:cs="Melior"/>
          <w:bCs/>
        </w:rPr>
        <w:t xml:space="preserve"> “that general feedback or complaints stem from general issues that can typically be resolved by staff present at the time a concern is voiced, while grievances are more serious and generally require investigation into allegations regarding the quality of care.</w:t>
      </w:r>
      <w:r w:rsidR="0067511F" w:rsidRPr="002A7279">
        <w:rPr>
          <w:rFonts w:cs="Melior"/>
          <w:bCs/>
        </w:rPr>
        <w:t>”</w:t>
      </w:r>
      <w:r w:rsidR="003172EE" w:rsidRPr="002A7279">
        <w:rPr>
          <w:rStyle w:val="FootnoteReference"/>
          <w:rFonts w:cs="Melior"/>
          <w:bCs/>
        </w:rPr>
        <w:footnoteReference w:id="2"/>
      </w:r>
      <w:r w:rsidRPr="002A7279">
        <w:rPr>
          <w:rFonts w:cs="Melior"/>
          <w:bCs/>
        </w:rPr>
        <w:t xml:space="preserve">  </w:t>
      </w:r>
    </w:p>
    <w:p w14:paraId="03CB83E3" w14:textId="77777777" w:rsidR="00BF248D" w:rsidRPr="002A7279" w:rsidRDefault="00BF248D" w:rsidP="00357C60">
      <w:pPr>
        <w:rPr>
          <w:rFonts w:cs="Melior"/>
          <w:bCs/>
          <w:u w:val="single"/>
        </w:rPr>
      </w:pPr>
      <w:r w:rsidRPr="002A7279">
        <w:rPr>
          <w:rFonts w:cs="Melior"/>
          <w:bCs/>
          <w:u w:val="single"/>
        </w:rPr>
        <w:t>Preventing Retaliation</w:t>
      </w:r>
    </w:p>
    <w:p w14:paraId="318F51A4" w14:textId="77777777" w:rsidR="00BF248D" w:rsidRPr="002A7279" w:rsidRDefault="00BF248D" w:rsidP="00AF36D6">
      <w:r w:rsidRPr="002A7279">
        <w:t xml:space="preserve">CMS’s proposed language would prohibit a facility from retaliating against a resident who voices a </w:t>
      </w:r>
      <w:proofErr w:type="gramStart"/>
      <w:r w:rsidRPr="002A7279">
        <w:t>grievance, but</w:t>
      </w:r>
      <w:proofErr w:type="gramEnd"/>
      <w:r w:rsidRPr="002A7279">
        <w:t xml:space="preserve"> would not prohibit retaliation against a resident expressing “general feedback.”  The regulation should be written to prohibit retaliation </w:t>
      </w:r>
      <w:proofErr w:type="gramStart"/>
      <w:r w:rsidRPr="002A7279">
        <w:t>whether or not</w:t>
      </w:r>
      <w:proofErr w:type="gramEnd"/>
      <w:r w:rsidRPr="002A7279">
        <w:t xml:space="preserve"> a complaint is treated as a grievance.</w:t>
      </w:r>
    </w:p>
    <w:p w14:paraId="623BC091" w14:textId="77777777" w:rsidR="00A9438A" w:rsidRPr="002A7279" w:rsidRDefault="00BF248D" w:rsidP="00AF36D6">
      <w:r w:rsidRPr="002A7279">
        <w:rPr>
          <w:u w:val="single"/>
        </w:rPr>
        <w:t>Contact Information for Accessing Grievance Process</w:t>
      </w:r>
      <w:r w:rsidR="004F6C33" w:rsidRPr="002A7279">
        <w:t xml:space="preserve"> </w:t>
      </w:r>
    </w:p>
    <w:p w14:paraId="29575929" w14:textId="21CCEF64" w:rsidR="00AD6668" w:rsidRPr="002A7279" w:rsidRDefault="00BF248D" w:rsidP="00AF36D6">
      <w:r w:rsidRPr="002A7279">
        <w:t xml:space="preserve">CMS proposes </w:t>
      </w:r>
      <w:r w:rsidR="005563A4" w:rsidRPr="002A7279">
        <w:t>to eliminate the “Grievance Official” requirement, so that grievance-related duties can be shared by facility staff</w:t>
      </w:r>
      <w:r w:rsidR="00AA3DE6" w:rsidRPr="002A7279">
        <w:t xml:space="preserve">, with </w:t>
      </w:r>
      <w:r w:rsidR="00595752" w:rsidRPr="002A7279">
        <w:t>one</w:t>
      </w:r>
      <w:r w:rsidR="00AA3DE6" w:rsidRPr="002A7279">
        <w:t xml:space="preserve"> individual responsible for overseeing the grievance process</w:t>
      </w:r>
      <w:r w:rsidR="005563A4" w:rsidRPr="002A7279">
        <w:t xml:space="preserve">.  If that </w:t>
      </w:r>
      <w:r w:rsidR="005563A4" w:rsidRPr="002A7279">
        <w:lastRenderedPageBreak/>
        <w:t xml:space="preserve">change is made, </w:t>
      </w:r>
      <w:r w:rsidR="00FC2DB7">
        <w:t>I</w:t>
      </w:r>
      <w:r w:rsidR="005563A4" w:rsidRPr="002A7279">
        <w:t xml:space="preserve"> recommend revising the regulations to require a facility to notify residents of how to contact the facility employees responsible for the grievance process.  The current regulations have a comparable requirement, but that requirement is lost in the proposed regulatory language and its deletion of the “Grievance Official” position.</w:t>
      </w:r>
    </w:p>
    <w:p w14:paraId="1704559C" w14:textId="77777777" w:rsidR="00BF248D" w:rsidRPr="002A7279" w:rsidRDefault="00AD6668" w:rsidP="00AF36D6">
      <w:r w:rsidRPr="002A7279">
        <w:rPr>
          <w:u w:val="single"/>
        </w:rPr>
        <w:t>Specifying Duties of Grievance Process</w:t>
      </w:r>
      <w:r w:rsidR="005563A4" w:rsidRPr="002A7279">
        <w:t xml:space="preserve">  </w:t>
      </w:r>
    </w:p>
    <w:p w14:paraId="1C5501BD" w14:textId="385B0154" w:rsidR="00732049" w:rsidRPr="002A7279" w:rsidRDefault="00FC2DB7" w:rsidP="005C2F39">
      <w:pPr>
        <w:autoSpaceDE w:val="0"/>
        <w:autoSpaceDN w:val="0"/>
        <w:adjustRightInd w:val="0"/>
        <w:spacing w:after="0" w:line="240" w:lineRule="auto"/>
      </w:pPr>
      <w:r>
        <w:rPr>
          <w:rFonts w:cs="Melior"/>
          <w:bCs/>
        </w:rPr>
        <w:t>I</w:t>
      </w:r>
      <w:r w:rsidR="000D697C" w:rsidRPr="002A7279">
        <w:rPr>
          <w:rFonts w:cs="Melior"/>
          <w:bCs/>
        </w:rPr>
        <w:t xml:space="preserve"> </w:t>
      </w:r>
      <w:r w:rsidR="005C2F39" w:rsidRPr="002A7279">
        <w:rPr>
          <w:rFonts w:cs="Melior"/>
          <w:bCs/>
        </w:rPr>
        <w:t>oppose CMS’s proposal to eliminate the specified duties of the staff members handling grievances</w:t>
      </w:r>
      <w:r w:rsidR="000D697C" w:rsidRPr="002A7279">
        <w:rPr>
          <w:rFonts w:cs="Melior"/>
          <w:bCs/>
          <w:iCs/>
        </w:rPr>
        <w:t>.</w:t>
      </w:r>
      <w:r w:rsidR="00706882" w:rsidRPr="002A7279">
        <w:rPr>
          <w:rFonts w:cs="Melior"/>
          <w:bCs/>
          <w:iCs/>
        </w:rPr>
        <w:t xml:space="preserve">  Even if a facility does not have one specified Grievance Official, the duties remain necessary.</w:t>
      </w:r>
      <w:r w:rsidR="000D697C" w:rsidRPr="002A7279">
        <w:rPr>
          <w:rFonts w:cs="Melior"/>
          <w:bCs/>
          <w:iCs/>
        </w:rPr>
        <w:t xml:space="preserve"> </w:t>
      </w:r>
      <w:r w:rsidR="00706882" w:rsidRPr="002A7279">
        <w:rPr>
          <w:rFonts w:cs="Melior"/>
          <w:bCs/>
          <w:iCs/>
        </w:rPr>
        <w:t xml:space="preserve"> </w:t>
      </w:r>
      <w:r w:rsidR="000D697C" w:rsidRPr="002A7279">
        <w:t xml:space="preserve">The duties specified in the </w:t>
      </w:r>
      <w:r w:rsidR="00706882" w:rsidRPr="002A7279">
        <w:t xml:space="preserve">current </w:t>
      </w:r>
      <w:r w:rsidR="000D697C" w:rsidRPr="002A7279">
        <w:t>regulation are basic, reasonable</w:t>
      </w:r>
      <w:r w:rsidR="006859D4" w:rsidRPr="002A7279">
        <w:t>,</w:t>
      </w:r>
      <w:r w:rsidR="000D697C" w:rsidRPr="002A7279">
        <w:t xml:space="preserve"> and necessary components of complaint invest</w:t>
      </w:r>
      <w:r w:rsidR="00226D9E" w:rsidRPr="002A7279">
        <w:t>igation and resolution</w:t>
      </w:r>
      <w:r w:rsidR="000D697C" w:rsidRPr="002A7279">
        <w:t>. They are also broad – leaving a</w:t>
      </w:r>
      <w:r w:rsidR="00AD6668" w:rsidRPr="002A7279">
        <w:t>dequate</w:t>
      </w:r>
      <w:r w:rsidR="000D697C" w:rsidRPr="002A7279">
        <w:t xml:space="preserve"> flexibility to facilities.</w:t>
      </w:r>
    </w:p>
    <w:p w14:paraId="04306EC1" w14:textId="77777777" w:rsidR="00732049" w:rsidRPr="002A7279" w:rsidRDefault="00732049" w:rsidP="005C2F39">
      <w:pPr>
        <w:autoSpaceDE w:val="0"/>
        <w:autoSpaceDN w:val="0"/>
        <w:adjustRightInd w:val="0"/>
        <w:spacing w:after="0" w:line="240" w:lineRule="auto"/>
      </w:pPr>
    </w:p>
    <w:p w14:paraId="51159357" w14:textId="77777777" w:rsidR="00DE13E3" w:rsidRPr="002A7279" w:rsidRDefault="00732049" w:rsidP="00732049">
      <w:pPr>
        <w:autoSpaceDE w:val="0"/>
        <w:autoSpaceDN w:val="0"/>
        <w:adjustRightInd w:val="0"/>
        <w:spacing w:after="0" w:line="240" w:lineRule="auto"/>
        <w:rPr>
          <w:b/>
          <w:bCs/>
        </w:rPr>
      </w:pPr>
      <w:r w:rsidRPr="002A7279">
        <w:rPr>
          <w:u w:val="single"/>
        </w:rPr>
        <w:t>Specifying Contents of Written Grievance Decision</w:t>
      </w:r>
    </w:p>
    <w:p w14:paraId="43C25768" w14:textId="77777777" w:rsidR="00A75F00" w:rsidRPr="002A7279" w:rsidRDefault="00A75F00" w:rsidP="00DE13E3">
      <w:pPr>
        <w:autoSpaceDE w:val="0"/>
        <w:autoSpaceDN w:val="0"/>
        <w:adjustRightInd w:val="0"/>
        <w:spacing w:after="0" w:line="240" w:lineRule="auto"/>
      </w:pPr>
    </w:p>
    <w:p w14:paraId="11A012B7" w14:textId="1748196C" w:rsidR="00DE13E3" w:rsidRPr="002A7279" w:rsidRDefault="00FC2DB7" w:rsidP="00732049">
      <w:pPr>
        <w:autoSpaceDE w:val="0"/>
        <w:autoSpaceDN w:val="0"/>
        <w:adjustRightInd w:val="0"/>
        <w:spacing w:after="0" w:line="240" w:lineRule="auto"/>
      </w:pPr>
      <w:r>
        <w:t>I</w:t>
      </w:r>
      <w:r w:rsidR="00DE13E3" w:rsidRPr="002A7279">
        <w:t xml:space="preserve"> support maintaining the requirement to provide residents with a written decision regarding their grievance.  </w:t>
      </w:r>
      <w:r>
        <w:t>I</w:t>
      </w:r>
      <w:r w:rsidR="00DE13E3" w:rsidRPr="002A7279">
        <w:t xml:space="preserve"> object, ho</w:t>
      </w:r>
      <w:r>
        <w:t>wever</w:t>
      </w:r>
      <w:r w:rsidR="00DE13E3" w:rsidRPr="002A7279">
        <w:t>, to</w:t>
      </w:r>
      <w:r w:rsidR="00732049" w:rsidRPr="002A7279">
        <w:t xml:space="preserve"> CMS’s proposal to</w:t>
      </w:r>
      <w:r w:rsidR="00DE13E3" w:rsidRPr="002A7279">
        <w:t xml:space="preserve"> remov</w:t>
      </w:r>
      <w:r w:rsidR="00732049" w:rsidRPr="002A7279">
        <w:t>e</w:t>
      </w:r>
      <w:r w:rsidR="00DE13E3" w:rsidRPr="002A7279">
        <w:t xml:space="preserve"> most of the language detailing what must be included in the written decision.  </w:t>
      </w:r>
      <w:r w:rsidR="00732049" w:rsidRPr="002A7279">
        <w:t xml:space="preserve">CMS states in its discussion of the proposed regulations that it “expects” that facilities will choose to include certain important information in the decisions, but </w:t>
      </w:r>
      <w:r>
        <w:t>my</w:t>
      </w:r>
      <w:r w:rsidR="00DE13E3" w:rsidRPr="002A7279">
        <w:t xml:space="preserve"> experience has long been that</w:t>
      </w:r>
      <w:r w:rsidR="00CD3BE8" w:rsidRPr="002A7279">
        <w:t>,</w:t>
      </w:r>
      <w:r w:rsidR="00DE13E3" w:rsidRPr="002A7279">
        <w:t xml:space="preserve"> in general</w:t>
      </w:r>
      <w:r w:rsidR="00CD3BE8" w:rsidRPr="002A7279">
        <w:t>,</w:t>
      </w:r>
      <w:r w:rsidR="00DE13E3" w:rsidRPr="002A7279">
        <w:t xml:space="preserve"> if </w:t>
      </w:r>
      <w:r w:rsidR="006859D4" w:rsidRPr="002A7279">
        <w:t xml:space="preserve">it is </w:t>
      </w:r>
      <w:r w:rsidR="00DE13E3" w:rsidRPr="002A7279">
        <w:t xml:space="preserve">not required, </w:t>
      </w:r>
      <w:r w:rsidR="006859D4" w:rsidRPr="002A7279">
        <w:t xml:space="preserve">it is </w:t>
      </w:r>
      <w:r w:rsidR="00DE13E3" w:rsidRPr="002A7279">
        <w:t>not done.</w:t>
      </w:r>
      <w:r w:rsidR="00732049" w:rsidRPr="002A7279">
        <w:t xml:space="preserve">  </w:t>
      </w:r>
      <w:r w:rsidR="00DE13E3" w:rsidRPr="002A7279">
        <w:t>Unless the specific content</w:t>
      </w:r>
      <w:r w:rsidR="00A75F00" w:rsidRPr="002A7279">
        <w:t>s</w:t>
      </w:r>
      <w:r w:rsidR="00DE13E3" w:rsidRPr="002A7279">
        <w:t xml:space="preserve"> of the notice </w:t>
      </w:r>
      <w:r w:rsidR="00A75F00" w:rsidRPr="002A7279">
        <w:t>are</w:t>
      </w:r>
      <w:r w:rsidR="00732049" w:rsidRPr="002A7279">
        <w:t xml:space="preserve"> mandated, many</w:t>
      </w:r>
      <w:r w:rsidR="00DE13E3" w:rsidRPr="002A7279">
        <w:t xml:space="preserve"> facilities will </w:t>
      </w:r>
      <w:r w:rsidR="00D8545C" w:rsidRPr="002A7279">
        <w:t xml:space="preserve">provide </w:t>
      </w:r>
      <w:r w:rsidR="00DE13E3" w:rsidRPr="002A7279">
        <w:t>only the bare m</w:t>
      </w:r>
      <w:r w:rsidR="00D8545C" w:rsidRPr="002A7279">
        <w:t>i</w:t>
      </w:r>
      <w:r w:rsidR="00DE13E3" w:rsidRPr="002A7279">
        <w:t>nimum called for in the proposed r</w:t>
      </w:r>
      <w:r w:rsidR="008A2BBB" w:rsidRPr="002A7279">
        <w:t>egulations</w:t>
      </w:r>
      <w:r w:rsidR="00DE13E3" w:rsidRPr="002A7279">
        <w:t xml:space="preserve">.  </w:t>
      </w:r>
      <w:r w:rsidR="00732049" w:rsidRPr="002A7279">
        <w:t xml:space="preserve">The grievance regulations should continue to </w:t>
      </w:r>
      <w:r w:rsidR="000F675D" w:rsidRPr="002A7279">
        <w:t>specify</w:t>
      </w:r>
      <w:r w:rsidR="00732049" w:rsidRPr="002A7279">
        <w:t xml:space="preserve"> the information </w:t>
      </w:r>
      <w:r w:rsidR="000F675D" w:rsidRPr="002A7279">
        <w:t xml:space="preserve">as </w:t>
      </w:r>
      <w:r w:rsidR="00732049" w:rsidRPr="002A7279">
        <w:t>required by the current regulations.</w:t>
      </w:r>
    </w:p>
    <w:p w14:paraId="44FAB977" w14:textId="77777777" w:rsidR="00732049" w:rsidRPr="002A7279" w:rsidRDefault="00732049" w:rsidP="00732049">
      <w:pPr>
        <w:autoSpaceDE w:val="0"/>
        <w:autoSpaceDN w:val="0"/>
        <w:adjustRightInd w:val="0"/>
        <w:spacing w:after="0" w:line="240" w:lineRule="auto"/>
      </w:pPr>
    </w:p>
    <w:p w14:paraId="61A9F2E7" w14:textId="77777777" w:rsidR="00DE13E3" w:rsidRPr="002A7279" w:rsidRDefault="00732049" w:rsidP="00732049">
      <w:pPr>
        <w:autoSpaceDE w:val="0"/>
        <w:autoSpaceDN w:val="0"/>
        <w:adjustRightInd w:val="0"/>
        <w:spacing w:after="0" w:line="240" w:lineRule="auto"/>
        <w:rPr>
          <w:u w:val="single"/>
        </w:rPr>
      </w:pPr>
      <w:r w:rsidRPr="002A7279">
        <w:rPr>
          <w:u w:val="single"/>
        </w:rPr>
        <w:t>Retaining Evidence of Grievance Results for Three Years</w:t>
      </w:r>
    </w:p>
    <w:p w14:paraId="4FD87E9B" w14:textId="77777777" w:rsidR="000F24D9" w:rsidRPr="002A7279" w:rsidRDefault="000F24D9" w:rsidP="00732049">
      <w:pPr>
        <w:autoSpaceDE w:val="0"/>
        <w:autoSpaceDN w:val="0"/>
        <w:adjustRightInd w:val="0"/>
        <w:spacing w:after="0" w:line="240" w:lineRule="auto"/>
        <w:rPr>
          <w:b/>
          <w:bCs/>
        </w:rPr>
      </w:pPr>
    </w:p>
    <w:p w14:paraId="3F7DCF5C" w14:textId="5F4318E3" w:rsidR="001E5F3A" w:rsidRPr="002A7279" w:rsidRDefault="00FC2DB7" w:rsidP="001E5F3A">
      <w:r>
        <w:t>I</w:t>
      </w:r>
      <w:r w:rsidR="001E5F3A" w:rsidRPr="002A7279">
        <w:t xml:space="preserve"> disagree </w:t>
      </w:r>
      <w:r w:rsidR="00AB56B1" w:rsidRPr="002A7279">
        <w:t xml:space="preserve">with CMS’s position that </w:t>
      </w:r>
      <w:r w:rsidR="001E5F3A" w:rsidRPr="002A7279">
        <w:t>maintaining evidence related to grievances for three years is burdensome. Any documents concerning grievances will almost certainly be electronic.  If not, handwritten documents can be scanned and become electronic.</w:t>
      </w:r>
      <w:r w:rsidR="000F24D9" w:rsidRPr="002A7279">
        <w:t xml:space="preserve">  CMS proposes an 18-month requirement; retaining </w:t>
      </w:r>
      <w:r w:rsidR="00732049" w:rsidRPr="002A7279">
        <w:t xml:space="preserve">records for </w:t>
      </w:r>
      <w:r w:rsidR="000F24D9" w:rsidRPr="002A7279">
        <w:t xml:space="preserve">an additional 18 months (for a total of three years) would </w:t>
      </w:r>
      <w:r w:rsidR="00AA3DE6" w:rsidRPr="002A7279">
        <w:t xml:space="preserve">require </w:t>
      </w:r>
      <w:r w:rsidR="000F24D9" w:rsidRPr="002A7279">
        <w:t>li</w:t>
      </w:r>
      <w:r w:rsidR="001E5F3A" w:rsidRPr="002A7279">
        <w:t>ttle to no effort or cost.</w:t>
      </w:r>
    </w:p>
    <w:p w14:paraId="5888C819" w14:textId="242FBD72" w:rsidR="000F24D9" w:rsidRPr="002A7279" w:rsidRDefault="000F24D9" w:rsidP="000F24D9">
      <w:pPr>
        <w:rPr>
          <w:bCs/>
          <w:iCs/>
        </w:rPr>
      </w:pPr>
      <w:r w:rsidRPr="002A7279">
        <w:t xml:space="preserve">Grievance results </w:t>
      </w:r>
      <w:r w:rsidR="001E5F3A" w:rsidRPr="002A7279">
        <w:t>can ind</w:t>
      </w:r>
      <w:r w:rsidRPr="002A7279">
        <w:t xml:space="preserve">icate the types of problems the facility has had </w:t>
      </w:r>
      <w:r w:rsidR="001E5F3A" w:rsidRPr="002A7279">
        <w:t>in the pas</w:t>
      </w:r>
      <w:r w:rsidRPr="002A7279">
        <w:t>t, what was done to address those problems,</w:t>
      </w:r>
      <w:r w:rsidR="001E5F3A" w:rsidRPr="002A7279">
        <w:t xml:space="preserve"> and if those efforts </w:t>
      </w:r>
      <w:r w:rsidR="00FC2DB7">
        <w:t>we</w:t>
      </w:r>
      <w:r w:rsidR="001E5F3A" w:rsidRPr="002A7279">
        <w:t>re su</w:t>
      </w:r>
      <w:r w:rsidR="006F78E9" w:rsidRPr="002A7279">
        <w:t>ccessful.</w:t>
      </w:r>
      <w:r w:rsidR="00AA3DE6" w:rsidRPr="002A7279">
        <w:t xml:space="preserve"> </w:t>
      </w:r>
      <w:r w:rsidR="00A83FE1" w:rsidRPr="002A7279">
        <w:t>This information</w:t>
      </w:r>
      <w:r w:rsidR="00AA3DE6" w:rsidRPr="002A7279">
        <w:t xml:space="preserve"> can be used by both facilities and surveyors to identify problems or potential problems.  </w:t>
      </w:r>
    </w:p>
    <w:p w14:paraId="12715275" w14:textId="77777777" w:rsidR="00661E16" w:rsidRPr="002A7279" w:rsidRDefault="00661E16" w:rsidP="00661E16">
      <w:pPr>
        <w:rPr>
          <w:rFonts w:eastAsia="Calibri" w:cs="Times New Roman"/>
        </w:rPr>
      </w:pPr>
    </w:p>
    <w:p w14:paraId="20751125" w14:textId="77777777" w:rsidR="00661E16" w:rsidRPr="002A7279" w:rsidRDefault="000F24D9" w:rsidP="00661E16">
      <w:pPr>
        <w:rPr>
          <w:rFonts w:eastAsia="Calibri" w:cs="Times New Roman"/>
          <w:b/>
        </w:rPr>
      </w:pPr>
      <w:r w:rsidRPr="002A7279">
        <w:rPr>
          <w:rFonts w:eastAsia="Calibri" w:cs="Times New Roman"/>
          <w:b/>
        </w:rPr>
        <w:t>NOTICE OF TRANSFER/DISCHARGE</w:t>
      </w:r>
      <w:r w:rsidR="00661E16" w:rsidRPr="002A7279">
        <w:rPr>
          <w:rFonts w:eastAsia="Calibri" w:cs="Times New Roman"/>
          <w:b/>
        </w:rPr>
        <w:t xml:space="preserve"> </w:t>
      </w:r>
      <w:r w:rsidRPr="002A7279">
        <w:rPr>
          <w:rFonts w:eastAsia="Calibri" w:cs="Times New Roman"/>
          <w:b/>
        </w:rPr>
        <w:t xml:space="preserve">WHEN RESIDENT IS HOSPITALIZED </w:t>
      </w:r>
      <w:r w:rsidR="00661E16" w:rsidRPr="002A7279">
        <w:rPr>
          <w:rFonts w:eastAsia="Calibri" w:cs="Times New Roman"/>
          <w:b/>
        </w:rPr>
        <w:t>(Section 483.15</w:t>
      </w:r>
      <w:r w:rsidRPr="002A7279">
        <w:rPr>
          <w:rFonts w:eastAsia="Calibri" w:cs="Times New Roman"/>
          <w:b/>
        </w:rPr>
        <w:t>(c)</w:t>
      </w:r>
      <w:r w:rsidR="00661E16" w:rsidRPr="002A7279">
        <w:rPr>
          <w:rFonts w:eastAsia="Calibri" w:cs="Times New Roman"/>
          <w:b/>
        </w:rPr>
        <w:t>)</w:t>
      </w:r>
    </w:p>
    <w:p w14:paraId="461F8C96" w14:textId="370F2D71" w:rsidR="002833F7" w:rsidRPr="002A7279" w:rsidRDefault="00FC2DB7" w:rsidP="002833F7">
      <w:pPr>
        <w:rPr>
          <w:rFonts w:eastAsia="Calibri" w:cs="Times New Roman"/>
          <w:b/>
        </w:rPr>
      </w:pPr>
      <w:bookmarkStart w:id="0" w:name="_Hlk18413213"/>
      <w:r>
        <w:rPr>
          <w:rFonts w:eastAsia="Calibri" w:cs="Times New Roman"/>
          <w:b/>
        </w:rPr>
        <w:t>I</w:t>
      </w:r>
      <w:r w:rsidR="002833F7" w:rsidRPr="002A7279">
        <w:rPr>
          <w:rFonts w:eastAsia="Calibri" w:cs="Times New Roman"/>
          <w:b/>
        </w:rPr>
        <w:t xml:space="preserve"> support focusing on notices</w:t>
      </w:r>
      <w:r w:rsidR="007E720C" w:rsidRPr="002A7279">
        <w:rPr>
          <w:rFonts w:eastAsia="Calibri" w:cs="Times New Roman"/>
          <w:b/>
        </w:rPr>
        <w:t xml:space="preserve"> to </w:t>
      </w:r>
      <w:r w:rsidR="00AF209D" w:rsidRPr="002A7279">
        <w:rPr>
          <w:rFonts w:eastAsia="Calibri" w:cs="Times New Roman"/>
          <w:b/>
        </w:rPr>
        <w:t>O</w:t>
      </w:r>
      <w:r w:rsidR="007E720C" w:rsidRPr="002A7279">
        <w:rPr>
          <w:rFonts w:eastAsia="Calibri" w:cs="Times New Roman"/>
          <w:b/>
        </w:rPr>
        <w:t>mbudsman programs</w:t>
      </w:r>
      <w:r w:rsidR="002833F7" w:rsidRPr="002A7279">
        <w:rPr>
          <w:rFonts w:eastAsia="Calibri" w:cs="Times New Roman"/>
          <w:b/>
        </w:rPr>
        <w:t xml:space="preserve"> in situations where a resident is not being allo</w:t>
      </w:r>
      <w:r>
        <w:rPr>
          <w:rFonts w:eastAsia="Calibri" w:cs="Times New Roman"/>
          <w:b/>
        </w:rPr>
        <w:t>we</w:t>
      </w:r>
      <w:r w:rsidR="002833F7" w:rsidRPr="002A7279">
        <w:rPr>
          <w:rFonts w:eastAsia="Calibri" w:cs="Times New Roman"/>
          <w:b/>
        </w:rPr>
        <w:t>d to return from a hospitalization</w:t>
      </w:r>
      <w:r w:rsidR="007E720C" w:rsidRPr="002A7279">
        <w:rPr>
          <w:rFonts w:eastAsia="Calibri" w:cs="Times New Roman"/>
          <w:b/>
        </w:rPr>
        <w:t>, but object to use of the terms “involuntary” or “facility-initiated” in the regulations</w:t>
      </w:r>
      <w:r w:rsidR="002833F7" w:rsidRPr="002A7279">
        <w:rPr>
          <w:rFonts w:eastAsia="Calibri" w:cs="Times New Roman"/>
          <w:b/>
        </w:rPr>
        <w:t>.</w:t>
      </w:r>
    </w:p>
    <w:p w14:paraId="43612FA8" w14:textId="1A7BB780" w:rsidR="002833F7" w:rsidRPr="002A7279" w:rsidRDefault="00FC2DB7" w:rsidP="002833F7">
      <w:pPr>
        <w:rPr>
          <w:rFonts w:eastAsia="Calibri" w:cs="Times New Roman"/>
        </w:rPr>
      </w:pPr>
      <w:r>
        <w:rPr>
          <w:rFonts w:eastAsia="Calibri" w:cs="Times New Roman"/>
        </w:rPr>
        <w:t>I</w:t>
      </w:r>
      <w:r w:rsidR="002833F7" w:rsidRPr="002A7279">
        <w:rPr>
          <w:rFonts w:eastAsia="Calibri" w:cs="Times New Roman"/>
        </w:rPr>
        <w:t xml:space="preserve"> agree with CMS that </w:t>
      </w:r>
      <w:r w:rsidR="007E720C" w:rsidRPr="002A7279">
        <w:rPr>
          <w:rFonts w:eastAsia="Calibri" w:cs="Times New Roman"/>
        </w:rPr>
        <w:t xml:space="preserve">notice to </w:t>
      </w:r>
      <w:r w:rsidR="00AF209D" w:rsidRPr="002A7279">
        <w:rPr>
          <w:rFonts w:eastAsia="Calibri" w:cs="Times New Roman"/>
        </w:rPr>
        <w:t>O</w:t>
      </w:r>
      <w:r w:rsidR="007E720C" w:rsidRPr="002A7279">
        <w:rPr>
          <w:rFonts w:eastAsia="Calibri" w:cs="Times New Roman"/>
        </w:rPr>
        <w:t xml:space="preserve">mbudsman </w:t>
      </w:r>
      <w:r w:rsidR="00A83FE1" w:rsidRPr="002A7279">
        <w:rPr>
          <w:rFonts w:eastAsia="Calibri" w:cs="Times New Roman"/>
        </w:rPr>
        <w:t>programs of</w:t>
      </w:r>
      <w:r w:rsidR="007E720C" w:rsidRPr="002A7279">
        <w:rPr>
          <w:rFonts w:eastAsia="Calibri" w:cs="Times New Roman"/>
        </w:rPr>
        <w:t xml:space="preserve"> </w:t>
      </w:r>
      <w:r w:rsidR="002833F7" w:rsidRPr="002A7279">
        <w:rPr>
          <w:rFonts w:eastAsia="Calibri" w:cs="Times New Roman"/>
        </w:rPr>
        <w:t>transfer/discharge related to</w:t>
      </w:r>
      <w:r w:rsidR="007E720C" w:rsidRPr="002A7279">
        <w:rPr>
          <w:rFonts w:eastAsia="Calibri" w:cs="Times New Roman"/>
        </w:rPr>
        <w:t xml:space="preserve"> hospitalization</w:t>
      </w:r>
      <w:r w:rsidR="002833F7" w:rsidRPr="002A7279">
        <w:rPr>
          <w:rFonts w:eastAsia="Calibri" w:cs="Times New Roman"/>
        </w:rPr>
        <w:t xml:space="preserve"> </w:t>
      </w:r>
      <w:r w:rsidR="00FF6CC3" w:rsidRPr="002A7279">
        <w:rPr>
          <w:rFonts w:eastAsia="Calibri" w:cs="Times New Roman"/>
        </w:rPr>
        <w:t xml:space="preserve">(or other temporary </w:t>
      </w:r>
      <w:r w:rsidR="007E720C" w:rsidRPr="002A7279">
        <w:rPr>
          <w:rFonts w:eastAsia="Calibri" w:cs="Times New Roman"/>
        </w:rPr>
        <w:t>absence</w:t>
      </w:r>
      <w:r w:rsidR="00FF6CC3" w:rsidRPr="002A7279">
        <w:rPr>
          <w:rFonts w:eastAsia="Calibri" w:cs="Times New Roman"/>
        </w:rPr>
        <w:t>)</w:t>
      </w:r>
      <w:r w:rsidR="00C41C4F" w:rsidRPr="002A7279">
        <w:rPr>
          <w:rFonts w:eastAsia="Calibri" w:cs="Times New Roman"/>
        </w:rPr>
        <w:t xml:space="preserve"> </w:t>
      </w:r>
      <w:r w:rsidR="002833F7" w:rsidRPr="002A7279">
        <w:rPr>
          <w:rFonts w:eastAsia="Calibri" w:cs="Times New Roman"/>
        </w:rPr>
        <w:t>should be focused on situations where the facility is not allowing a resident to return, rather than on all instances when a resident is hospitalized.  The scenario where a resident is sent to the hospital, treated</w:t>
      </w:r>
      <w:r w:rsidR="00AF209D" w:rsidRPr="002A7279">
        <w:rPr>
          <w:rFonts w:eastAsia="Calibri" w:cs="Times New Roman"/>
        </w:rPr>
        <w:t>,</w:t>
      </w:r>
      <w:r w:rsidR="002833F7" w:rsidRPr="002A7279">
        <w:rPr>
          <w:rFonts w:eastAsia="Calibri" w:cs="Times New Roman"/>
        </w:rPr>
        <w:t xml:space="preserve"> and then not</w:t>
      </w:r>
      <w:r w:rsidR="00135B10" w:rsidRPr="002A7279">
        <w:rPr>
          <w:rFonts w:eastAsia="Calibri" w:cs="Times New Roman"/>
        </w:rPr>
        <w:t xml:space="preserve"> permitted to return</w:t>
      </w:r>
      <w:r w:rsidR="00C41C4F" w:rsidRPr="002A7279">
        <w:rPr>
          <w:rFonts w:eastAsia="Calibri" w:cs="Times New Roman"/>
        </w:rPr>
        <w:t xml:space="preserve"> to their nursing</w:t>
      </w:r>
      <w:r w:rsidR="002833F7" w:rsidRPr="002A7279">
        <w:rPr>
          <w:rFonts w:eastAsia="Calibri" w:cs="Times New Roman"/>
        </w:rPr>
        <w:t xml:space="preserve"> facility continues to be a widespread problem. In a recent </w:t>
      </w:r>
      <w:r w:rsidR="00A83FE1" w:rsidRPr="002A7279">
        <w:rPr>
          <w:rFonts w:eastAsia="Calibri" w:cs="Times New Roman"/>
        </w:rPr>
        <w:t xml:space="preserve">Consumer Voice </w:t>
      </w:r>
      <w:r w:rsidR="002833F7" w:rsidRPr="002A7279">
        <w:rPr>
          <w:rFonts w:eastAsia="Calibri" w:cs="Times New Roman"/>
        </w:rPr>
        <w:t xml:space="preserve">transfer-discharge questionnaire, </w:t>
      </w:r>
      <w:r w:rsidR="002833F7" w:rsidRPr="002A7279">
        <w:rPr>
          <w:rFonts w:eastAsia="Calibri" w:cs="Times New Roman"/>
        </w:rPr>
        <w:lastRenderedPageBreak/>
        <w:t xml:space="preserve">approximately 61% of State Ombudsmen indicated that they have observed a trend of </w:t>
      </w:r>
      <w:r w:rsidR="00135B10" w:rsidRPr="002A7279">
        <w:rPr>
          <w:rFonts w:eastAsia="Calibri" w:cs="Times New Roman"/>
        </w:rPr>
        <w:t>nursing facilities refusing to allow residents to return from hospitalizations</w:t>
      </w:r>
      <w:r w:rsidR="002833F7" w:rsidRPr="002A7279">
        <w:rPr>
          <w:rFonts w:eastAsia="Calibri" w:cs="Times New Roman"/>
        </w:rPr>
        <w:t>.</w:t>
      </w:r>
    </w:p>
    <w:p w14:paraId="026E1FB8" w14:textId="165267DE" w:rsidR="002833F7" w:rsidRPr="002A7279" w:rsidRDefault="002833F7" w:rsidP="002833F7">
      <w:pPr>
        <w:rPr>
          <w:rFonts w:eastAsia="Calibri" w:cs="Times New Roman"/>
        </w:rPr>
      </w:pPr>
      <w:r w:rsidRPr="002A7279">
        <w:rPr>
          <w:rFonts w:eastAsia="Calibri" w:cs="Times New Roman"/>
        </w:rPr>
        <w:t>Any revision of the regulations, ho</w:t>
      </w:r>
      <w:r w:rsidR="009470C1">
        <w:rPr>
          <w:rFonts w:eastAsia="Calibri" w:cs="Times New Roman"/>
        </w:rPr>
        <w:t>we</w:t>
      </w:r>
      <w:r w:rsidRPr="002A7279">
        <w:rPr>
          <w:rFonts w:eastAsia="Calibri" w:cs="Times New Roman"/>
        </w:rPr>
        <w:t xml:space="preserve">ver, should not use the terms “involuntary” or “facility-initiated.”   Those terms currently are used in the guidance but not in the regulations.  Inserting any of those terms into one </w:t>
      </w:r>
      <w:r w:rsidR="00476E64" w:rsidRPr="002A7279">
        <w:rPr>
          <w:rFonts w:eastAsia="Calibri" w:cs="Times New Roman"/>
        </w:rPr>
        <w:t>line</w:t>
      </w:r>
      <w:r w:rsidRPr="002A7279">
        <w:rPr>
          <w:rFonts w:eastAsia="Calibri" w:cs="Times New Roman"/>
        </w:rPr>
        <w:t xml:space="preserve"> of the regulations would raise questions about how to interpret “transfer” or “discharge” in other areas of the regulations where those words are not modified by “involuntary” or “facility-initiated.”</w:t>
      </w:r>
    </w:p>
    <w:p w14:paraId="55C38798" w14:textId="77777777" w:rsidR="002833F7" w:rsidRPr="002A7279" w:rsidRDefault="002833F7" w:rsidP="002833F7">
      <w:pPr>
        <w:rPr>
          <w:rFonts w:eastAsia="Calibri" w:cs="Times New Roman"/>
        </w:rPr>
      </w:pPr>
      <w:r w:rsidRPr="002A7279">
        <w:rPr>
          <w:rFonts w:eastAsia="Calibri" w:cs="Times New Roman"/>
        </w:rPr>
        <w:t xml:space="preserve">Any revision </w:t>
      </w:r>
      <w:r w:rsidR="003A45AD" w:rsidRPr="002A7279">
        <w:rPr>
          <w:rFonts w:eastAsia="Calibri" w:cs="Times New Roman"/>
        </w:rPr>
        <w:t xml:space="preserve">also </w:t>
      </w:r>
      <w:r w:rsidRPr="002A7279">
        <w:rPr>
          <w:rFonts w:eastAsia="Calibri" w:cs="Times New Roman"/>
        </w:rPr>
        <w:t xml:space="preserve">should consider whether changes are necessary in the regulations or the guidance, or both. </w:t>
      </w:r>
      <w:proofErr w:type="gramStart"/>
      <w:r w:rsidRPr="002A7279">
        <w:rPr>
          <w:rFonts w:eastAsia="Calibri" w:cs="Times New Roman"/>
        </w:rPr>
        <w:t>To a great extent,</w:t>
      </w:r>
      <w:proofErr w:type="gramEnd"/>
      <w:r w:rsidRPr="002A7279">
        <w:rPr>
          <w:rFonts w:eastAsia="Calibri" w:cs="Times New Roman"/>
        </w:rPr>
        <w:t xml:space="preserve"> the issue addressed by CMS’s proposed change has been raised by the current requirement in the Surveyor’s Guidelines that </w:t>
      </w:r>
      <w:r w:rsidR="00AF209D" w:rsidRPr="002A7279">
        <w:rPr>
          <w:rFonts w:eastAsia="Calibri" w:cs="Times New Roman"/>
        </w:rPr>
        <w:t>O</w:t>
      </w:r>
      <w:r w:rsidRPr="002A7279">
        <w:rPr>
          <w:rFonts w:eastAsia="Calibri" w:cs="Times New Roman"/>
        </w:rPr>
        <w:t xml:space="preserve">mbudsman programs be sent notices regarding “emergency transfers” on a monthly basis. </w:t>
      </w:r>
    </w:p>
    <w:p w14:paraId="4935C370" w14:textId="77777777" w:rsidR="0046118C" w:rsidRPr="002A7279" w:rsidRDefault="0046118C" w:rsidP="00661E16">
      <w:pPr>
        <w:rPr>
          <w:rFonts w:eastAsia="Calibri" w:cs="Times New Roman"/>
        </w:rPr>
      </w:pPr>
    </w:p>
    <w:bookmarkEnd w:id="0"/>
    <w:p w14:paraId="2E977BC7" w14:textId="77777777" w:rsidR="00661E16" w:rsidRPr="002A7279" w:rsidRDefault="00001365" w:rsidP="00661E16">
      <w:pPr>
        <w:rPr>
          <w:rFonts w:eastAsia="Calibri" w:cs="Times New Roman"/>
          <w:b/>
        </w:rPr>
      </w:pPr>
      <w:r w:rsidRPr="002A7279">
        <w:rPr>
          <w:rFonts w:eastAsia="Calibri" w:cs="Times New Roman"/>
          <w:b/>
        </w:rPr>
        <w:t>NURS</w:t>
      </w:r>
      <w:r w:rsidR="000549CA" w:rsidRPr="002A7279">
        <w:rPr>
          <w:rFonts w:eastAsia="Calibri" w:cs="Times New Roman"/>
          <w:b/>
        </w:rPr>
        <w:t>E</w:t>
      </w:r>
      <w:r w:rsidRPr="002A7279">
        <w:rPr>
          <w:rFonts w:eastAsia="Calibri" w:cs="Times New Roman"/>
          <w:b/>
        </w:rPr>
        <w:t xml:space="preserve"> STAFFING DATA</w:t>
      </w:r>
      <w:r w:rsidR="00661E16" w:rsidRPr="002A7279">
        <w:rPr>
          <w:rFonts w:eastAsia="Calibri" w:cs="Times New Roman"/>
          <w:b/>
        </w:rPr>
        <w:t xml:space="preserve"> (Section 483.35)</w:t>
      </w:r>
    </w:p>
    <w:p w14:paraId="04743DD7" w14:textId="7FBF0CAC" w:rsidR="000549CA" w:rsidRPr="002A7279" w:rsidRDefault="00FC2DB7" w:rsidP="00661E16">
      <w:pPr>
        <w:rPr>
          <w:rFonts w:eastAsia="Calibri" w:cs="Times New Roman"/>
          <w:b/>
        </w:rPr>
      </w:pPr>
      <w:r>
        <w:rPr>
          <w:rFonts w:eastAsia="Calibri" w:cs="Times New Roman"/>
          <w:b/>
        </w:rPr>
        <w:t>I</w:t>
      </w:r>
      <w:r w:rsidR="000549CA" w:rsidRPr="002A7279">
        <w:rPr>
          <w:rFonts w:eastAsia="Calibri" w:cs="Times New Roman"/>
          <w:b/>
        </w:rPr>
        <w:t xml:space="preserve"> support retaining the current requirement that facilities</w:t>
      </w:r>
      <w:r w:rsidR="00AA3DE6" w:rsidRPr="002A7279">
        <w:rPr>
          <w:rFonts w:eastAsia="Calibri" w:cs="Times New Roman"/>
          <w:b/>
        </w:rPr>
        <w:t xml:space="preserve"> maintain</w:t>
      </w:r>
      <w:r w:rsidR="000549CA" w:rsidRPr="002A7279">
        <w:rPr>
          <w:rFonts w:eastAsia="Calibri" w:cs="Times New Roman"/>
          <w:b/>
        </w:rPr>
        <w:t xml:space="preserve"> daily nurse staffing data for at least 18 months.</w:t>
      </w:r>
    </w:p>
    <w:p w14:paraId="7A750B96" w14:textId="77777777" w:rsidR="00661E16" w:rsidRPr="002A7279" w:rsidRDefault="00661E16" w:rsidP="00661E16">
      <w:pPr>
        <w:rPr>
          <w:rFonts w:eastAsia="Calibri" w:cs="Times New Roman"/>
        </w:rPr>
      </w:pPr>
      <w:r w:rsidRPr="002A7279">
        <w:rPr>
          <w:rFonts w:eastAsia="Calibri" w:cs="Times New Roman"/>
        </w:rPr>
        <w:t>Currently, nursing facilities must retain daily nurse staffing data for at least 18 months</w:t>
      </w:r>
      <w:r w:rsidR="00A073F4" w:rsidRPr="002A7279">
        <w:rPr>
          <w:rFonts w:eastAsia="Calibri" w:cs="Times New Roman"/>
        </w:rPr>
        <w:t>, but</w:t>
      </w:r>
      <w:r w:rsidRPr="002A7279">
        <w:rPr>
          <w:rFonts w:eastAsia="Calibri" w:cs="Times New Roman"/>
        </w:rPr>
        <w:t xml:space="preserve"> CMS proposes to reduce this minimum time to 15 months.</w:t>
      </w:r>
    </w:p>
    <w:p w14:paraId="774A7951" w14:textId="08BC71D3" w:rsidR="00A073F4" w:rsidRPr="002A7279" w:rsidRDefault="00FC2DB7" w:rsidP="00A073F4">
      <w:pPr>
        <w:rPr>
          <w:rFonts w:eastAsia="Calibri" w:cs="Times New Roman"/>
        </w:rPr>
      </w:pPr>
      <w:r>
        <w:rPr>
          <w:rFonts w:eastAsia="Calibri" w:cs="Times New Roman"/>
        </w:rPr>
        <w:t>I</w:t>
      </w:r>
      <w:r w:rsidR="00A073F4" w:rsidRPr="002A7279">
        <w:rPr>
          <w:rFonts w:eastAsia="Calibri" w:cs="Times New Roman"/>
        </w:rPr>
        <w:t xml:space="preserve"> recommend</w:t>
      </w:r>
      <w:r w:rsidR="00661E16" w:rsidRPr="002A7279">
        <w:rPr>
          <w:rFonts w:eastAsia="Calibri" w:cs="Times New Roman"/>
        </w:rPr>
        <w:t xml:space="preserve"> that CMS retain the current 18-month minimum.  Since surveys by law may be separated by as much as 15 months, 18 months provides leeway if a survey is late.  Also, nursing facilities face no </w:t>
      </w:r>
      <w:r w:rsidR="00270CD4" w:rsidRPr="002A7279">
        <w:rPr>
          <w:rFonts w:eastAsia="Calibri" w:cs="Times New Roman"/>
        </w:rPr>
        <w:t>significant</w:t>
      </w:r>
      <w:r w:rsidR="00661E16" w:rsidRPr="002A7279">
        <w:rPr>
          <w:rFonts w:eastAsia="Calibri" w:cs="Times New Roman"/>
        </w:rPr>
        <w:t xml:space="preserve"> difficulty in retaining information for an additional three months, </w:t>
      </w:r>
      <w:r w:rsidR="00A073F4" w:rsidRPr="002A7279">
        <w:rPr>
          <w:rFonts w:eastAsia="Calibri" w:cs="Times New Roman"/>
        </w:rPr>
        <w:t xml:space="preserve">particularly because </w:t>
      </w:r>
      <w:r w:rsidR="00661E16" w:rsidRPr="002A7279">
        <w:rPr>
          <w:rFonts w:eastAsia="Calibri" w:cs="Times New Roman"/>
        </w:rPr>
        <w:t xml:space="preserve">the information likely is </w:t>
      </w:r>
      <w:r w:rsidR="00AA3DE6" w:rsidRPr="002A7279">
        <w:rPr>
          <w:rFonts w:eastAsia="Calibri" w:cs="Times New Roman"/>
        </w:rPr>
        <w:t>kept</w:t>
      </w:r>
      <w:r w:rsidR="00661E16" w:rsidRPr="002A7279">
        <w:rPr>
          <w:rFonts w:eastAsia="Calibri" w:cs="Times New Roman"/>
        </w:rPr>
        <w:t xml:space="preserve"> electronic</w:t>
      </w:r>
      <w:r w:rsidR="00A073F4" w:rsidRPr="002A7279">
        <w:rPr>
          <w:rFonts w:eastAsia="Calibri" w:cs="Times New Roman"/>
        </w:rPr>
        <w:t>ally</w:t>
      </w:r>
      <w:r w:rsidR="00661E16" w:rsidRPr="002A7279">
        <w:rPr>
          <w:rFonts w:eastAsia="Calibri" w:cs="Times New Roman"/>
        </w:rPr>
        <w:t>.</w:t>
      </w:r>
    </w:p>
    <w:p w14:paraId="7F1D1421" w14:textId="77777777" w:rsidR="00661E16" w:rsidRPr="002A7279" w:rsidRDefault="00661E16" w:rsidP="00661E16">
      <w:pPr>
        <w:rPr>
          <w:rFonts w:eastAsia="Calibri" w:cs="Times New Roman"/>
        </w:rPr>
      </w:pPr>
    </w:p>
    <w:p w14:paraId="199A31FF" w14:textId="77777777" w:rsidR="00661E16" w:rsidRPr="002A7279" w:rsidRDefault="00001365" w:rsidP="00661E16">
      <w:pPr>
        <w:rPr>
          <w:rFonts w:eastAsia="Calibri" w:cs="Times New Roman"/>
        </w:rPr>
      </w:pPr>
      <w:r w:rsidRPr="002A7279">
        <w:rPr>
          <w:rFonts w:eastAsia="Calibri" w:cs="Times New Roman"/>
          <w:b/>
        </w:rPr>
        <w:t>P</w:t>
      </w:r>
      <w:r w:rsidR="00256FA5" w:rsidRPr="002A7279">
        <w:rPr>
          <w:rFonts w:eastAsia="Calibri" w:cs="Times New Roman"/>
          <w:b/>
        </w:rPr>
        <w:t>SYCHOTROPIC DRUGS</w:t>
      </w:r>
      <w:r w:rsidR="00661E16" w:rsidRPr="002A7279">
        <w:rPr>
          <w:rFonts w:eastAsia="Calibri" w:cs="Times New Roman"/>
          <w:b/>
        </w:rPr>
        <w:t xml:space="preserve"> (Section 483.45</w:t>
      </w:r>
      <w:r w:rsidR="00256FA5" w:rsidRPr="002A7279">
        <w:rPr>
          <w:rFonts w:eastAsia="Calibri" w:cs="Times New Roman"/>
          <w:b/>
        </w:rPr>
        <w:t>(e)</w:t>
      </w:r>
      <w:r w:rsidR="00661E16" w:rsidRPr="002A7279">
        <w:rPr>
          <w:rFonts w:eastAsia="Calibri" w:cs="Times New Roman"/>
          <w:b/>
        </w:rPr>
        <w:t>)</w:t>
      </w:r>
    </w:p>
    <w:p w14:paraId="4B7CCECA" w14:textId="56EA7B7B" w:rsidR="001E0A07" w:rsidRPr="002A7279" w:rsidRDefault="00FC2DB7" w:rsidP="00661E16">
      <w:pPr>
        <w:rPr>
          <w:rFonts w:eastAsia="Calibri" w:cs="Times New Roman"/>
          <w:b/>
        </w:rPr>
      </w:pPr>
      <w:r>
        <w:rPr>
          <w:rFonts w:eastAsia="Calibri" w:cs="Times New Roman"/>
          <w:b/>
        </w:rPr>
        <w:t>I</w:t>
      </w:r>
      <w:r w:rsidR="00A073F4" w:rsidRPr="002A7279">
        <w:rPr>
          <w:rFonts w:eastAsia="Calibri" w:cs="Times New Roman"/>
          <w:b/>
        </w:rPr>
        <w:t xml:space="preserve"> recommend retaining current limitations on as-needed administration of anti</w:t>
      </w:r>
      <w:r w:rsidR="00226D9E" w:rsidRPr="002A7279">
        <w:rPr>
          <w:rFonts w:eastAsia="Calibri" w:cs="Times New Roman"/>
          <w:b/>
        </w:rPr>
        <w:t>-</w:t>
      </w:r>
      <w:r w:rsidR="00A073F4" w:rsidRPr="002A7279">
        <w:rPr>
          <w:rFonts w:eastAsia="Calibri" w:cs="Times New Roman"/>
          <w:b/>
        </w:rPr>
        <w:t xml:space="preserve">psychotic </w:t>
      </w:r>
      <w:r w:rsidR="00A83FE1" w:rsidRPr="002A7279">
        <w:rPr>
          <w:rFonts w:eastAsia="Calibri" w:cs="Times New Roman"/>
          <w:b/>
        </w:rPr>
        <w:t>drugs</w:t>
      </w:r>
      <w:r w:rsidR="002E2901" w:rsidRPr="002A7279">
        <w:rPr>
          <w:rFonts w:eastAsia="Calibri" w:cs="Times New Roman"/>
          <w:b/>
        </w:rPr>
        <w:t>, along with</w:t>
      </w:r>
      <w:r w:rsidR="00311909" w:rsidRPr="002A7279">
        <w:rPr>
          <w:rFonts w:eastAsia="Calibri" w:cs="Times New Roman"/>
          <w:b/>
        </w:rPr>
        <w:t xml:space="preserve"> adding a</w:t>
      </w:r>
      <w:r w:rsidR="001E0A07" w:rsidRPr="002A7279">
        <w:rPr>
          <w:rFonts w:eastAsia="Calibri" w:cs="Times New Roman"/>
          <w:b/>
        </w:rPr>
        <w:t xml:space="preserve"> requirement that </w:t>
      </w:r>
      <w:r w:rsidR="00C85A5F" w:rsidRPr="002A7279">
        <w:rPr>
          <w:rFonts w:eastAsia="Calibri" w:cs="Times New Roman"/>
          <w:b/>
        </w:rPr>
        <w:t xml:space="preserve">all </w:t>
      </w:r>
      <w:r w:rsidR="009F7F1A" w:rsidRPr="002A7279">
        <w:rPr>
          <w:rFonts w:eastAsia="Calibri" w:cs="Times New Roman"/>
          <w:b/>
        </w:rPr>
        <w:t xml:space="preserve">psychotropic </w:t>
      </w:r>
      <w:r w:rsidR="00C85A5F" w:rsidRPr="002A7279">
        <w:rPr>
          <w:rFonts w:eastAsia="Calibri" w:cs="Times New Roman"/>
          <w:b/>
        </w:rPr>
        <w:t>medication</w:t>
      </w:r>
      <w:r w:rsidR="00A51088" w:rsidRPr="002A7279">
        <w:rPr>
          <w:rFonts w:eastAsia="Calibri" w:cs="Times New Roman"/>
          <w:b/>
        </w:rPr>
        <w:t>s</w:t>
      </w:r>
      <w:r w:rsidR="001E0A07" w:rsidRPr="002A7279">
        <w:rPr>
          <w:rFonts w:eastAsia="Calibri" w:cs="Times New Roman"/>
          <w:b/>
        </w:rPr>
        <w:t xml:space="preserve"> only be administered with informed consent.</w:t>
      </w:r>
    </w:p>
    <w:p w14:paraId="0E15FC58" w14:textId="77777777" w:rsidR="00661E16" w:rsidRPr="002A7279" w:rsidRDefault="00661E16" w:rsidP="00661E16">
      <w:pPr>
        <w:rPr>
          <w:rFonts w:eastAsia="Calibri" w:cs="Times New Roman"/>
        </w:rPr>
      </w:pPr>
      <w:r w:rsidRPr="002A7279">
        <w:rPr>
          <w:rFonts w:eastAsia="Calibri" w:cs="Times New Roman"/>
        </w:rPr>
        <w:t>Current regulations allow anti</w:t>
      </w:r>
      <w:r w:rsidR="00C41C4F" w:rsidRPr="002A7279">
        <w:rPr>
          <w:rFonts w:eastAsia="Calibri" w:cs="Times New Roman"/>
        </w:rPr>
        <w:t>-</w:t>
      </w:r>
      <w:r w:rsidR="00256FA5" w:rsidRPr="002A7279">
        <w:rPr>
          <w:rFonts w:eastAsia="Calibri" w:cs="Times New Roman"/>
        </w:rPr>
        <w:t>psychotic drugs</w:t>
      </w:r>
      <w:r w:rsidRPr="002A7279">
        <w:rPr>
          <w:rFonts w:eastAsia="Calibri" w:cs="Times New Roman"/>
        </w:rPr>
        <w:t xml:space="preserve"> to be prescribed on a PRN (as-needed) basis only for 14 days, unless the physician “evaluates the resident for the appropriateness of that medication.”  CMS now is saying that this requirement is too limiting on facilities, and proposes to allow anti</w:t>
      </w:r>
      <w:r w:rsidR="00226D9E" w:rsidRPr="002A7279">
        <w:rPr>
          <w:rFonts w:eastAsia="Calibri" w:cs="Times New Roman"/>
        </w:rPr>
        <w:t>-</w:t>
      </w:r>
      <w:r w:rsidRPr="002A7279">
        <w:rPr>
          <w:rFonts w:eastAsia="Calibri" w:cs="Times New Roman"/>
        </w:rPr>
        <w:t>psychotics to be prescribed for an indefinite time period, if the physician documents the rationale for a specified extended duration, and the extended time is consistent with facility policy and with new regulations that set standards for such facility policies.</w:t>
      </w:r>
    </w:p>
    <w:p w14:paraId="7C7E7117" w14:textId="3BB86E9A" w:rsidR="00661E16" w:rsidRPr="002A7279" w:rsidRDefault="00FC2DB7" w:rsidP="00661E16">
      <w:pPr>
        <w:rPr>
          <w:rFonts w:eastAsia="Calibri" w:cs="Times New Roman"/>
        </w:rPr>
      </w:pPr>
      <w:r>
        <w:rPr>
          <w:rFonts w:eastAsia="Calibri" w:cs="Times New Roman"/>
        </w:rPr>
        <w:t>I</w:t>
      </w:r>
      <w:r w:rsidR="00661E16" w:rsidRPr="002A7279">
        <w:rPr>
          <w:rFonts w:eastAsia="Calibri" w:cs="Times New Roman"/>
        </w:rPr>
        <w:t xml:space="preserve"> disagree with CMS’s proposed changes: </w:t>
      </w:r>
      <w:r w:rsidR="00256FA5" w:rsidRPr="002A7279">
        <w:rPr>
          <w:rFonts w:eastAsia="Calibri" w:cs="Times New Roman"/>
        </w:rPr>
        <w:t xml:space="preserve"> use of anti</w:t>
      </w:r>
      <w:r w:rsidR="00226D9E" w:rsidRPr="002A7279">
        <w:rPr>
          <w:rFonts w:eastAsia="Calibri" w:cs="Times New Roman"/>
        </w:rPr>
        <w:t>-</w:t>
      </w:r>
      <w:r w:rsidR="00256FA5" w:rsidRPr="002A7279">
        <w:rPr>
          <w:rFonts w:eastAsia="Calibri" w:cs="Times New Roman"/>
        </w:rPr>
        <w:t>psychotic drugs</w:t>
      </w:r>
      <w:r w:rsidR="00661E16" w:rsidRPr="002A7279">
        <w:rPr>
          <w:rFonts w:eastAsia="Calibri" w:cs="Times New Roman"/>
        </w:rPr>
        <w:t xml:space="preserve"> should not b</w:t>
      </w:r>
      <w:r w:rsidR="00256FA5" w:rsidRPr="002A7279">
        <w:rPr>
          <w:rFonts w:eastAsia="Calibri" w:cs="Times New Roman"/>
        </w:rPr>
        <w:t>e made easier. These drugs</w:t>
      </w:r>
      <w:r w:rsidR="00661E16" w:rsidRPr="002A7279">
        <w:rPr>
          <w:rFonts w:eastAsia="Calibri" w:cs="Times New Roman"/>
        </w:rPr>
        <w:t xml:space="preserve"> generally come with “black box” warnings stating that they increase the risk of death in older adults with dementia.</w:t>
      </w:r>
      <w:r w:rsidR="00C85A5F" w:rsidRPr="002A7279">
        <w:rPr>
          <w:rFonts w:eastAsia="Calibri" w:cs="Times New Roman"/>
        </w:rPr>
        <w:t xml:space="preserve">  Inappropriate use of these drugs continues to be widespread and serious.</w:t>
      </w:r>
    </w:p>
    <w:p w14:paraId="19C5773E" w14:textId="4E7D1A6D" w:rsidR="00FC62A2" w:rsidRPr="002A7279" w:rsidRDefault="001E0A07" w:rsidP="007E132E">
      <w:pPr>
        <w:rPr>
          <w:rFonts w:eastAsia="Calibri" w:cs="Times New Roman"/>
        </w:rPr>
      </w:pPr>
      <w:r w:rsidRPr="002A7279">
        <w:rPr>
          <w:rFonts w:eastAsia="Calibri" w:cs="Times New Roman"/>
        </w:rPr>
        <w:t>To address the consistent overuse of anti</w:t>
      </w:r>
      <w:r w:rsidR="00226D9E" w:rsidRPr="002A7279">
        <w:rPr>
          <w:rFonts w:eastAsia="Calibri" w:cs="Times New Roman"/>
        </w:rPr>
        <w:t>-</w:t>
      </w:r>
      <w:r w:rsidRPr="002A7279">
        <w:rPr>
          <w:rFonts w:eastAsia="Calibri" w:cs="Times New Roman"/>
        </w:rPr>
        <w:t xml:space="preserve">psychotics, </w:t>
      </w:r>
      <w:r w:rsidR="00FC2DB7">
        <w:rPr>
          <w:rFonts w:eastAsia="Calibri" w:cs="Times New Roman"/>
        </w:rPr>
        <w:t>I</w:t>
      </w:r>
      <w:r w:rsidRPr="002A7279">
        <w:rPr>
          <w:rFonts w:eastAsia="Calibri" w:cs="Times New Roman"/>
        </w:rPr>
        <w:t xml:space="preserve"> recommend </w:t>
      </w:r>
      <w:r w:rsidR="00661E16" w:rsidRPr="002A7279">
        <w:rPr>
          <w:rFonts w:eastAsia="Calibri" w:cs="Times New Roman"/>
        </w:rPr>
        <w:t>a regulation requiring informed consent by a resident or resident representative prior to administration of any</w:t>
      </w:r>
      <w:r w:rsidR="009F7F1A" w:rsidRPr="002A7279">
        <w:rPr>
          <w:rFonts w:eastAsia="Calibri" w:cs="Times New Roman"/>
        </w:rPr>
        <w:t xml:space="preserve"> </w:t>
      </w:r>
      <w:r w:rsidR="00A83FE1" w:rsidRPr="002A7279">
        <w:rPr>
          <w:rFonts w:eastAsia="Calibri" w:cs="Times New Roman"/>
        </w:rPr>
        <w:t>psychotropic medication</w:t>
      </w:r>
      <w:r w:rsidR="00661E16" w:rsidRPr="002A7279">
        <w:rPr>
          <w:rFonts w:eastAsia="Calibri" w:cs="Times New Roman"/>
        </w:rPr>
        <w:t xml:space="preserve"> </w:t>
      </w:r>
      <w:r w:rsidR="00661E16" w:rsidRPr="002A7279">
        <w:rPr>
          <w:rFonts w:eastAsia="Calibri" w:cs="Times New Roman"/>
        </w:rPr>
        <w:lastRenderedPageBreak/>
        <w:t>(including anti</w:t>
      </w:r>
      <w:r w:rsidR="00226D9E" w:rsidRPr="002A7279">
        <w:rPr>
          <w:rFonts w:eastAsia="Calibri" w:cs="Times New Roman"/>
        </w:rPr>
        <w:t>-</w:t>
      </w:r>
      <w:r w:rsidR="00661E16" w:rsidRPr="002A7279">
        <w:rPr>
          <w:rFonts w:eastAsia="Calibri" w:cs="Times New Roman"/>
        </w:rPr>
        <w:t>psychotics).</w:t>
      </w:r>
      <w:r w:rsidRPr="002A7279">
        <w:rPr>
          <w:rFonts w:eastAsia="Calibri" w:cs="Times New Roman"/>
        </w:rPr>
        <w:t xml:space="preserve">  Such a requirement is consistent with</w:t>
      </w:r>
      <w:r w:rsidR="009F7F1A" w:rsidRPr="002A7279">
        <w:rPr>
          <w:rFonts w:eastAsia="Calibri" w:cs="Times New Roman"/>
        </w:rPr>
        <w:t xml:space="preserve"> the </w:t>
      </w:r>
      <w:r w:rsidR="009470C1">
        <w:rPr>
          <w:rFonts w:eastAsia="Calibri" w:cs="Times New Roman"/>
        </w:rPr>
        <w:t>wel</w:t>
      </w:r>
      <w:r w:rsidR="009F7F1A" w:rsidRPr="002A7279">
        <w:rPr>
          <w:rFonts w:eastAsia="Calibri" w:cs="Times New Roman"/>
        </w:rPr>
        <w:t xml:space="preserve">l-recognized legal principle that any health care requires consent </w:t>
      </w:r>
      <w:r w:rsidR="002E2901" w:rsidRPr="002A7279">
        <w:rPr>
          <w:rFonts w:eastAsia="Calibri" w:cs="Times New Roman"/>
        </w:rPr>
        <w:t>from</w:t>
      </w:r>
      <w:r w:rsidR="009F7F1A" w:rsidRPr="002A7279">
        <w:rPr>
          <w:rFonts w:eastAsia="Calibri" w:cs="Times New Roman"/>
        </w:rPr>
        <w:t xml:space="preserve"> the patient or patient representative</w:t>
      </w:r>
      <w:r w:rsidRPr="002A7279">
        <w:rPr>
          <w:rFonts w:eastAsia="Calibri" w:cs="Times New Roman"/>
        </w:rPr>
        <w:t>.</w:t>
      </w:r>
    </w:p>
    <w:p w14:paraId="477C50FA" w14:textId="77777777" w:rsidR="007E132E" w:rsidRPr="002A7279" w:rsidRDefault="007E132E" w:rsidP="007E132E"/>
    <w:p w14:paraId="073B5D4B" w14:textId="77777777" w:rsidR="00FC62A2" w:rsidRPr="002A7279" w:rsidRDefault="00FC62A2" w:rsidP="000975BB">
      <w:pPr>
        <w:autoSpaceDE w:val="0"/>
        <w:autoSpaceDN w:val="0"/>
        <w:adjustRightInd w:val="0"/>
        <w:spacing w:after="0" w:line="240" w:lineRule="auto"/>
        <w:rPr>
          <w:b/>
          <w:bCs/>
        </w:rPr>
      </w:pPr>
      <w:r w:rsidRPr="002A7279">
        <w:rPr>
          <w:b/>
          <w:bCs/>
        </w:rPr>
        <w:t>FOOD AND NUTR</w:t>
      </w:r>
      <w:r w:rsidR="0047569A" w:rsidRPr="002A7279">
        <w:rPr>
          <w:b/>
          <w:bCs/>
        </w:rPr>
        <w:t>I</w:t>
      </w:r>
      <w:r w:rsidRPr="002A7279">
        <w:rPr>
          <w:b/>
          <w:bCs/>
        </w:rPr>
        <w:t xml:space="preserve">TION </w:t>
      </w:r>
      <w:r w:rsidR="00877315" w:rsidRPr="002A7279">
        <w:rPr>
          <w:b/>
          <w:bCs/>
        </w:rPr>
        <w:t xml:space="preserve">(Section </w:t>
      </w:r>
      <w:r w:rsidR="000A5BD0" w:rsidRPr="002A7279">
        <w:rPr>
          <w:b/>
          <w:bCs/>
        </w:rPr>
        <w:t>483.60</w:t>
      </w:r>
      <w:r w:rsidR="00587BFC" w:rsidRPr="002A7279">
        <w:rPr>
          <w:b/>
          <w:bCs/>
        </w:rPr>
        <w:t>(a</w:t>
      </w:r>
      <w:r w:rsidR="000A5BD0" w:rsidRPr="002A7279">
        <w:rPr>
          <w:b/>
          <w:bCs/>
        </w:rPr>
        <w:t>)</w:t>
      </w:r>
      <w:r w:rsidR="00587BFC" w:rsidRPr="002A7279">
        <w:rPr>
          <w:b/>
          <w:bCs/>
        </w:rPr>
        <w:t>(2)</w:t>
      </w:r>
      <w:r w:rsidR="00877315" w:rsidRPr="002A7279">
        <w:rPr>
          <w:b/>
          <w:bCs/>
        </w:rPr>
        <w:t>)</w:t>
      </w:r>
    </w:p>
    <w:p w14:paraId="0B76AAE4" w14:textId="77777777" w:rsidR="00463501" w:rsidRPr="002A7279" w:rsidRDefault="00463501" w:rsidP="000975BB">
      <w:pPr>
        <w:autoSpaceDE w:val="0"/>
        <w:autoSpaceDN w:val="0"/>
        <w:adjustRightInd w:val="0"/>
        <w:spacing w:after="0" w:line="240" w:lineRule="auto"/>
      </w:pPr>
    </w:p>
    <w:p w14:paraId="6286997C" w14:textId="04690A29" w:rsidR="00311909" w:rsidRPr="002A7279" w:rsidRDefault="00FC2DB7" w:rsidP="000975BB">
      <w:pPr>
        <w:autoSpaceDE w:val="0"/>
        <w:autoSpaceDN w:val="0"/>
        <w:adjustRightInd w:val="0"/>
        <w:spacing w:after="0" w:line="240" w:lineRule="auto"/>
        <w:rPr>
          <w:b/>
        </w:rPr>
      </w:pPr>
      <w:r>
        <w:rPr>
          <w:b/>
        </w:rPr>
        <w:t>I</w:t>
      </w:r>
      <w:r w:rsidR="00311909" w:rsidRPr="002A7279">
        <w:rPr>
          <w:b/>
        </w:rPr>
        <w:t xml:space="preserve"> recommend that current standards be retained, but with the grandfathering of current directors of food and nutrition services.</w:t>
      </w:r>
    </w:p>
    <w:p w14:paraId="60BB0DC6" w14:textId="77777777" w:rsidR="00311909" w:rsidRPr="002A7279" w:rsidRDefault="00311909" w:rsidP="000975BB">
      <w:pPr>
        <w:autoSpaceDE w:val="0"/>
        <w:autoSpaceDN w:val="0"/>
        <w:adjustRightInd w:val="0"/>
        <w:spacing w:after="0" w:line="240" w:lineRule="auto"/>
        <w:rPr>
          <w:b/>
        </w:rPr>
      </w:pPr>
    </w:p>
    <w:p w14:paraId="030C5C12" w14:textId="2C5EEE68" w:rsidR="00311909" w:rsidRPr="002A7279" w:rsidRDefault="00FC2DB7" w:rsidP="000975BB">
      <w:pPr>
        <w:autoSpaceDE w:val="0"/>
        <w:autoSpaceDN w:val="0"/>
        <w:adjustRightInd w:val="0"/>
        <w:spacing w:after="0" w:line="240" w:lineRule="auto"/>
      </w:pPr>
      <w:r>
        <w:t>I</w:t>
      </w:r>
      <w:r w:rsidR="00311909" w:rsidRPr="002A7279">
        <w:t xml:space="preserve"> support the current standards for directors of food and nutrition services and believe that CMS’s proposed standards are much too </w:t>
      </w:r>
      <w:r w:rsidR="009470C1">
        <w:t>weak.</w:t>
      </w:r>
      <w:r w:rsidR="00311909" w:rsidRPr="002A7279">
        <w:t xml:space="preserve">  </w:t>
      </w:r>
      <w:r>
        <w:t>I</w:t>
      </w:r>
      <w:r w:rsidR="00311909" w:rsidRPr="002A7279">
        <w:t xml:space="preserve"> point particularly to CMS’s proposal to require no more than a vaguely</w:t>
      </w:r>
      <w:r w:rsidR="00A95072" w:rsidRPr="002A7279">
        <w:t xml:space="preserve"> </w:t>
      </w:r>
      <w:r w:rsidR="00311909" w:rsidRPr="002A7279">
        <w:t>described “c</w:t>
      </w:r>
      <w:r w:rsidR="009470C1">
        <w:t>ourse</w:t>
      </w:r>
      <w:r w:rsidR="00311909" w:rsidRPr="002A7279">
        <w:t xml:space="preserve"> of study.”</w:t>
      </w:r>
    </w:p>
    <w:p w14:paraId="0C34CAAD" w14:textId="77777777" w:rsidR="00311909" w:rsidRPr="002A7279" w:rsidRDefault="00311909" w:rsidP="000975BB">
      <w:pPr>
        <w:autoSpaceDE w:val="0"/>
        <w:autoSpaceDN w:val="0"/>
        <w:adjustRightInd w:val="0"/>
        <w:spacing w:after="0" w:line="240" w:lineRule="auto"/>
      </w:pPr>
    </w:p>
    <w:p w14:paraId="605001CD" w14:textId="5FA84F58" w:rsidR="004E6504" w:rsidRPr="002A7279" w:rsidRDefault="00311909" w:rsidP="00311909">
      <w:pPr>
        <w:autoSpaceDE w:val="0"/>
        <w:autoSpaceDN w:val="0"/>
        <w:adjustRightInd w:val="0"/>
        <w:spacing w:after="0" w:line="240" w:lineRule="auto"/>
        <w:rPr>
          <w:bCs/>
          <w:iCs/>
          <w:u w:val="single"/>
        </w:rPr>
      </w:pPr>
      <w:r w:rsidRPr="002A7279">
        <w:t xml:space="preserve">According to CMS, facilities have complained about their current directors of food and nutrition services not qualifying under the regulations.  This </w:t>
      </w:r>
      <w:r w:rsidR="00316979" w:rsidRPr="002A7279">
        <w:t>perceived</w:t>
      </w:r>
      <w:r w:rsidRPr="002A7279">
        <w:t xml:space="preserve"> problem could be dealt with by grandfathering in the current employees.  </w:t>
      </w:r>
      <w:r w:rsidR="00316979" w:rsidRPr="002A7279">
        <w:t>Ho</w:t>
      </w:r>
      <w:r w:rsidR="009470C1">
        <w:t>wev</w:t>
      </w:r>
      <w:r w:rsidR="00316979" w:rsidRPr="002A7279">
        <w:t>er,</w:t>
      </w:r>
      <w:r w:rsidRPr="002A7279">
        <w:t xml:space="preserve"> any concerns about current employees should not affect the application of the current standards to new hires.</w:t>
      </w:r>
    </w:p>
    <w:p w14:paraId="7861F3B8" w14:textId="77777777" w:rsidR="004E6504" w:rsidRPr="002A7279" w:rsidRDefault="004E6504" w:rsidP="00472B8D">
      <w:pPr>
        <w:autoSpaceDE w:val="0"/>
        <w:autoSpaceDN w:val="0"/>
        <w:adjustRightInd w:val="0"/>
        <w:spacing w:after="0" w:line="240" w:lineRule="auto"/>
        <w:ind w:left="720" w:right="720"/>
        <w:rPr>
          <w:bCs/>
          <w:iCs/>
        </w:rPr>
      </w:pPr>
    </w:p>
    <w:p w14:paraId="60CFDE17" w14:textId="77777777" w:rsidR="00472B8D" w:rsidRPr="002A7279" w:rsidRDefault="00472B8D" w:rsidP="00BB78ED">
      <w:pPr>
        <w:autoSpaceDE w:val="0"/>
        <w:autoSpaceDN w:val="0"/>
        <w:adjustRightInd w:val="0"/>
        <w:spacing w:after="0" w:line="240" w:lineRule="auto"/>
        <w:ind w:left="720" w:right="720"/>
        <w:rPr>
          <w:bCs/>
          <w:iCs/>
        </w:rPr>
      </w:pPr>
    </w:p>
    <w:p w14:paraId="21880920" w14:textId="77777777" w:rsidR="00E1713F" w:rsidRPr="002A7279" w:rsidRDefault="007464AA" w:rsidP="00E1713F">
      <w:pPr>
        <w:autoSpaceDE w:val="0"/>
        <w:autoSpaceDN w:val="0"/>
        <w:adjustRightInd w:val="0"/>
        <w:spacing w:after="0" w:line="240" w:lineRule="auto"/>
        <w:rPr>
          <w:b/>
          <w:bCs/>
        </w:rPr>
      </w:pPr>
      <w:r w:rsidRPr="002A7279">
        <w:rPr>
          <w:b/>
          <w:bCs/>
        </w:rPr>
        <w:t>FACILITY ASSESSMENTS</w:t>
      </w:r>
      <w:r w:rsidR="000D35F3" w:rsidRPr="002A7279">
        <w:rPr>
          <w:b/>
          <w:bCs/>
        </w:rPr>
        <w:t xml:space="preserve"> </w:t>
      </w:r>
      <w:r w:rsidR="00001365" w:rsidRPr="002A7279">
        <w:rPr>
          <w:b/>
          <w:bCs/>
        </w:rPr>
        <w:t>(</w:t>
      </w:r>
      <w:r w:rsidR="000A5BD0" w:rsidRPr="002A7279">
        <w:rPr>
          <w:b/>
          <w:bCs/>
        </w:rPr>
        <w:t>Section 483.70</w:t>
      </w:r>
      <w:r w:rsidR="00C879B0" w:rsidRPr="002A7279">
        <w:rPr>
          <w:b/>
          <w:bCs/>
        </w:rPr>
        <w:t>(e)</w:t>
      </w:r>
      <w:r w:rsidR="00001365" w:rsidRPr="002A7279">
        <w:rPr>
          <w:b/>
          <w:bCs/>
        </w:rPr>
        <w:t>)</w:t>
      </w:r>
    </w:p>
    <w:p w14:paraId="7AD2D242" w14:textId="77777777" w:rsidR="00E1713F" w:rsidRPr="002A7279" w:rsidRDefault="00E1713F" w:rsidP="00E1713F">
      <w:pPr>
        <w:autoSpaceDE w:val="0"/>
        <w:autoSpaceDN w:val="0"/>
        <w:adjustRightInd w:val="0"/>
        <w:spacing w:after="0" w:line="240" w:lineRule="auto"/>
        <w:rPr>
          <w:b/>
          <w:bCs/>
        </w:rPr>
      </w:pPr>
    </w:p>
    <w:p w14:paraId="04D932AE" w14:textId="3CB2D43C" w:rsidR="00311909" w:rsidRPr="002A7279" w:rsidRDefault="00FC2DB7" w:rsidP="00E1713F">
      <w:pPr>
        <w:autoSpaceDE w:val="0"/>
        <w:autoSpaceDN w:val="0"/>
        <w:adjustRightInd w:val="0"/>
        <w:spacing w:after="0" w:line="240" w:lineRule="auto"/>
        <w:rPr>
          <w:b/>
        </w:rPr>
      </w:pPr>
      <w:r>
        <w:rPr>
          <w:b/>
        </w:rPr>
        <w:t>I</w:t>
      </w:r>
      <w:r w:rsidR="00311909" w:rsidRPr="002A7279">
        <w:rPr>
          <w:b/>
        </w:rPr>
        <w:t xml:space="preserve"> recommend that CMS continue to require annual facility assessments.</w:t>
      </w:r>
    </w:p>
    <w:p w14:paraId="1B79E4B3" w14:textId="77777777" w:rsidR="00550E25" w:rsidRPr="002A7279" w:rsidRDefault="00550E25" w:rsidP="00E1713F">
      <w:pPr>
        <w:autoSpaceDE w:val="0"/>
        <w:autoSpaceDN w:val="0"/>
        <w:adjustRightInd w:val="0"/>
        <w:spacing w:after="0" w:line="240" w:lineRule="auto"/>
        <w:rPr>
          <w:b/>
        </w:rPr>
      </w:pPr>
    </w:p>
    <w:p w14:paraId="2E47764E" w14:textId="15C1EA92" w:rsidR="00E1713F" w:rsidRPr="002A7279" w:rsidRDefault="000D35F3" w:rsidP="000D35F3">
      <w:r w:rsidRPr="002A7279">
        <w:t xml:space="preserve">The </w:t>
      </w:r>
      <w:r w:rsidR="00C879B0" w:rsidRPr="002A7279">
        <w:t xml:space="preserve">facility </w:t>
      </w:r>
      <w:r w:rsidRPr="002A7279">
        <w:t xml:space="preserve">assessment is critically </w:t>
      </w:r>
      <w:r w:rsidR="00C879B0" w:rsidRPr="002A7279">
        <w:t>important because</w:t>
      </w:r>
      <w:r w:rsidRPr="002A7279">
        <w:t xml:space="preserve"> it can help address the number one problem voiced by residents – lack of adequate numbers of </w:t>
      </w:r>
      <w:r w:rsidR="009470C1">
        <w:t>well</w:t>
      </w:r>
      <w:r w:rsidR="00A21CCE" w:rsidRPr="002A7279">
        <w:t>-</w:t>
      </w:r>
      <w:r w:rsidRPr="002A7279">
        <w:t>trained and competent staff, particularly nursing staff.  I</w:t>
      </w:r>
      <w:r w:rsidR="00E1713F" w:rsidRPr="002A7279">
        <w:t xml:space="preserve">n an assessment, the facility follows </w:t>
      </w:r>
      <w:r w:rsidRPr="002A7279">
        <w:t>a formal process to determine its staffing needs.</w:t>
      </w:r>
    </w:p>
    <w:p w14:paraId="0692488F" w14:textId="4A35EC64" w:rsidR="00BA417E" w:rsidRPr="002A7279" w:rsidRDefault="00E1713F" w:rsidP="00E1713F">
      <w:r w:rsidRPr="002A7279">
        <w:t>CMS proposes to reduce assessment frequency from annually to every-other-year</w:t>
      </w:r>
      <w:r w:rsidR="003172EE" w:rsidRPr="002A7279">
        <w:t>.</w:t>
      </w:r>
      <w:r w:rsidRPr="002A7279">
        <w:t xml:space="preserve"> </w:t>
      </w:r>
      <w:r w:rsidR="003172EE" w:rsidRPr="002A7279">
        <w:t>B</w:t>
      </w:r>
      <w:r w:rsidR="00A95072" w:rsidRPr="002A7279">
        <w:t xml:space="preserve">ut </w:t>
      </w:r>
      <w:r w:rsidRPr="002A7279">
        <w:t>b</w:t>
      </w:r>
      <w:r w:rsidR="000D35F3" w:rsidRPr="002A7279">
        <w:t>ecause a facility’</w:t>
      </w:r>
      <w:r w:rsidR="00311909" w:rsidRPr="002A7279">
        <w:t>s</w:t>
      </w:r>
      <w:r w:rsidR="000D35F3" w:rsidRPr="002A7279">
        <w:t xml:space="preserve"> resident population is not static and staff turnover is high, reviewing and updating the facility assessment at least annually is essential. Otherwise</w:t>
      </w:r>
      <w:r w:rsidR="00A21CCE" w:rsidRPr="002A7279">
        <w:t>,</w:t>
      </w:r>
      <w:r w:rsidR="000D35F3" w:rsidRPr="002A7279">
        <w:t xml:space="preserve"> too much time will elapse bet</w:t>
      </w:r>
      <w:r w:rsidR="009470C1">
        <w:t>ween</w:t>
      </w:r>
      <w:r w:rsidR="000D35F3" w:rsidRPr="002A7279">
        <w:t xml:space="preserve"> reviews</w:t>
      </w:r>
      <w:r w:rsidR="00A21CCE" w:rsidRPr="002A7279">
        <w:t xml:space="preserve"> and the staffing levels may not reflect a change </w:t>
      </w:r>
      <w:r w:rsidR="00312506" w:rsidRPr="002A7279">
        <w:t xml:space="preserve">in </w:t>
      </w:r>
      <w:r w:rsidR="00A21CCE" w:rsidRPr="002A7279">
        <w:t>the acuity level, types of diseases, conditions, and physical and cognitive disabilities of a facility’s residents.</w:t>
      </w:r>
      <w:r w:rsidR="000D35F3" w:rsidRPr="002A7279">
        <w:t xml:space="preserve"> </w:t>
      </w:r>
    </w:p>
    <w:p w14:paraId="34F64E99" w14:textId="77777777" w:rsidR="00316979" w:rsidRPr="002A7279" w:rsidRDefault="00316979" w:rsidP="00E1713F"/>
    <w:p w14:paraId="68320358" w14:textId="4D40801F" w:rsidR="00316979" w:rsidRPr="002A7279" w:rsidRDefault="00316979" w:rsidP="00E1713F">
      <w:r w:rsidRPr="002A7279">
        <w:t>Thank you for y</w:t>
      </w:r>
      <w:r w:rsidR="009470C1">
        <w:t>our</w:t>
      </w:r>
      <w:r w:rsidRPr="002A7279">
        <w:t xml:space="preserve"> consideration of </w:t>
      </w:r>
      <w:r w:rsidR="00FC2DB7">
        <w:t>my</w:t>
      </w:r>
      <w:r w:rsidRPr="002A7279">
        <w:t xml:space="preserve"> comments.</w:t>
      </w:r>
    </w:p>
    <w:p w14:paraId="61B736E9" w14:textId="77777777" w:rsidR="00316979" w:rsidRPr="002A7279" w:rsidRDefault="00316979" w:rsidP="00E1713F"/>
    <w:p w14:paraId="4CC270B8" w14:textId="77777777" w:rsidR="00316979" w:rsidRPr="002A7279" w:rsidRDefault="00316979" w:rsidP="00E1713F">
      <w:r w:rsidRPr="002A7279">
        <w:t>Sincerely,</w:t>
      </w:r>
    </w:p>
    <w:p w14:paraId="5A6B2825" w14:textId="77777777" w:rsidR="00316979" w:rsidRPr="002A7279" w:rsidRDefault="00316979" w:rsidP="00E1713F"/>
    <w:p w14:paraId="5BF00375" w14:textId="084CDBD4" w:rsidR="00316979" w:rsidRPr="002A7279" w:rsidRDefault="00316979" w:rsidP="00E1713F">
      <w:r w:rsidRPr="002A7279">
        <w:rPr>
          <w:highlight w:val="yellow"/>
        </w:rPr>
        <w:t>Y</w:t>
      </w:r>
      <w:r w:rsidR="009470C1">
        <w:rPr>
          <w:highlight w:val="yellow"/>
        </w:rPr>
        <w:t>our</w:t>
      </w:r>
      <w:r w:rsidRPr="002A7279">
        <w:rPr>
          <w:highlight w:val="yellow"/>
        </w:rPr>
        <w:t xml:space="preserve"> Name</w:t>
      </w:r>
      <w:bookmarkStart w:id="1" w:name="_GoBack"/>
      <w:bookmarkEnd w:id="1"/>
    </w:p>
    <w:sectPr w:rsidR="00316979" w:rsidRPr="002A7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7A40B" w14:textId="77777777" w:rsidR="00FC7571" w:rsidRDefault="00FC7571" w:rsidP="003172EE">
      <w:pPr>
        <w:spacing w:after="0" w:line="240" w:lineRule="auto"/>
      </w:pPr>
      <w:r>
        <w:separator/>
      </w:r>
    </w:p>
  </w:endnote>
  <w:endnote w:type="continuationSeparator" w:id="0">
    <w:p w14:paraId="26849AB6" w14:textId="77777777" w:rsidR="00FC7571" w:rsidRDefault="00FC7571" w:rsidP="0031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F4C6" w14:textId="77777777" w:rsidR="00FC7571" w:rsidRDefault="00FC7571" w:rsidP="003172EE">
      <w:pPr>
        <w:spacing w:after="0" w:line="240" w:lineRule="auto"/>
      </w:pPr>
      <w:r>
        <w:separator/>
      </w:r>
    </w:p>
  </w:footnote>
  <w:footnote w:type="continuationSeparator" w:id="0">
    <w:p w14:paraId="5CB69DB7" w14:textId="77777777" w:rsidR="00FC7571" w:rsidRDefault="00FC7571" w:rsidP="003172EE">
      <w:pPr>
        <w:spacing w:after="0" w:line="240" w:lineRule="auto"/>
      </w:pPr>
      <w:r>
        <w:continuationSeparator/>
      </w:r>
    </w:p>
  </w:footnote>
  <w:footnote w:id="1">
    <w:p w14:paraId="3CA039B9" w14:textId="77777777" w:rsidR="003172EE" w:rsidRPr="0067511F" w:rsidRDefault="003172EE">
      <w:pPr>
        <w:pStyle w:val="FootnoteText"/>
        <w:rPr>
          <w:sz w:val="18"/>
          <w:szCs w:val="18"/>
        </w:rPr>
      </w:pPr>
      <w:r>
        <w:rPr>
          <w:rStyle w:val="FootnoteReference"/>
        </w:rPr>
        <w:footnoteRef/>
      </w:r>
      <w:r>
        <w:t xml:space="preserve"> </w:t>
      </w:r>
      <w:r w:rsidRPr="0067511F">
        <w:rPr>
          <w:rFonts w:cs="Melior"/>
          <w:bCs/>
          <w:sz w:val="18"/>
          <w:szCs w:val="18"/>
        </w:rPr>
        <w:t xml:space="preserve">CMS State Operations Manual, Appendix A (Survey Protocol, Regulations and Interpretive Guidelines for Hospitals (Interpretive Guidance for 42 C.F.R. § 482.13(a)(2)).  </w:t>
      </w:r>
    </w:p>
  </w:footnote>
  <w:footnote w:id="2">
    <w:p w14:paraId="69D336F6" w14:textId="77777777" w:rsidR="003172EE" w:rsidRDefault="003172EE">
      <w:pPr>
        <w:pStyle w:val="FootnoteText"/>
      </w:pPr>
      <w:r>
        <w:rPr>
          <w:rStyle w:val="FootnoteReference"/>
        </w:rPr>
        <w:footnoteRef/>
      </w:r>
      <w:r w:rsidRPr="0067511F">
        <w:rPr>
          <w:rFonts w:cs="Melior"/>
          <w:bCs/>
          <w:sz w:val="18"/>
          <w:szCs w:val="18"/>
        </w:rPr>
        <w:t>84 Federal Register at page 34,741</w:t>
      </w:r>
      <w:r w:rsidR="006A2E47">
        <w:rPr>
          <w:rFonts w:cs="Melior"/>
          <w:bCs/>
          <w:sz w:val="18"/>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C9F"/>
    <w:multiLevelType w:val="hybridMultilevel"/>
    <w:tmpl w:val="4E2C51B8"/>
    <w:lvl w:ilvl="0" w:tplc="7B6C4EBC">
      <w:start w:val="1"/>
      <w:numFmt w:val="bullet"/>
      <w:lvlText w:val="•"/>
      <w:lvlJc w:val="left"/>
      <w:pPr>
        <w:tabs>
          <w:tab w:val="num" w:pos="720"/>
        </w:tabs>
        <w:ind w:left="720" w:hanging="360"/>
      </w:pPr>
      <w:rPr>
        <w:rFonts w:ascii="Arial" w:hAnsi="Arial" w:hint="default"/>
      </w:rPr>
    </w:lvl>
    <w:lvl w:ilvl="1" w:tplc="FD44AF96">
      <w:start w:val="209"/>
      <w:numFmt w:val="bullet"/>
      <w:lvlText w:val="•"/>
      <w:lvlJc w:val="left"/>
      <w:pPr>
        <w:tabs>
          <w:tab w:val="num" w:pos="1440"/>
        </w:tabs>
        <w:ind w:left="1440" w:hanging="360"/>
      </w:pPr>
      <w:rPr>
        <w:rFonts w:ascii="Arial" w:hAnsi="Arial" w:hint="default"/>
      </w:rPr>
    </w:lvl>
    <w:lvl w:ilvl="2" w:tplc="B1A224E0" w:tentative="1">
      <w:start w:val="1"/>
      <w:numFmt w:val="bullet"/>
      <w:lvlText w:val="•"/>
      <w:lvlJc w:val="left"/>
      <w:pPr>
        <w:tabs>
          <w:tab w:val="num" w:pos="2160"/>
        </w:tabs>
        <w:ind w:left="2160" w:hanging="360"/>
      </w:pPr>
      <w:rPr>
        <w:rFonts w:ascii="Arial" w:hAnsi="Arial" w:hint="default"/>
      </w:rPr>
    </w:lvl>
    <w:lvl w:ilvl="3" w:tplc="E8C8C7B0" w:tentative="1">
      <w:start w:val="1"/>
      <w:numFmt w:val="bullet"/>
      <w:lvlText w:val="•"/>
      <w:lvlJc w:val="left"/>
      <w:pPr>
        <w:tabs>
          <w:tab w:val="num" w:pos="2880"/>
        </w:tabs>
        <w:ind w:left="2880" w:hanging="360"/>
      </w:pPr>
      <w:rPr>
        <w:rFonts w:ascii="Arial" w:hAnsi="Arial" w:hint="default"/>
      </w:rPr>
    </w:lvl>
    <w:lvl w:ilvl="4" w:tplc="4E244D22" w:tentative="1">
      <w:start w:val="1"/>
      <w:numFmt w:val="bullet"/>
      <w:lvlText w:val="•"/>
      <w:lvlJc w:val="left"/>
      <w:pPr>
        <w:tabs>
          <w:tab w:val="num" w:pos="3600"/>
        </w:tabs>
        <w:ind w:left="3600" w:hanging="360"/>
      </w:pPr>
      <w:rPr>
        <w:rFonts w:ascii="Arial" w:hAnsi="Arial" w:hint="default"/>
      </w:rPr>
    </w:lvl>
    <w:lvl w:ilvl="5" w:tplc="6F52161A" w:tentative="1">
      <w:start w:val="1"/>
      <w:numFmt w:val="bullet"/>
      <w:lvlText w:val="•"/>
      <w:lvlJc w:val="left"/>
      <w:pPr>
        <w:tabs>
          <w:tab w:val="num" w:pos="4320"/>
        </w:tabs>
        <w:ind w:left="4320" w:hanging="360"/>
      </w:pPr>
      <w:rPr>
        <w:rFonts w:ascii="Arial" w:hAnsi="Arial" w:hint="default"/>
      </w:rPr>
    </w:lvl>
    <w:lvl w:ilvl="6" w:tplc="4754CEDE" w:tentative="1">
      <w:start w:val="1"/>
      <w:numFmt w:val="bullet"/>
      <w:lvlText w:val="•"/>
      <w:lvlJc w:val="left"/>
      <w:pPr>
        <w:tabs>
          <w:tab w:val="num" w:pos="5040"/>
        </w:tabs>
        <w:ind w:left="5040" w:hanging="360"/>
      </w:pPr>
      <w:rPr>
        <w:rFonts w:ascii="Arial" w:hAnsi="Arial" w:hint="default"/>
      </w:rPr>
    </w:lvl>
    <w:lvl w:ilvl="7" w:tplc="A054495A" w:tentative="1">
      <w:start w:val="1"/>
      <w:numFmt w:val="bullet"/>
      <w:lvlText w:val="•"/>
      <w:lvlJc w:val="left"/>
      <w:pPr>
        <w:tabs>
          <w:tab w:val="num" w:pos="5760"/>
        </w:tabs>
        <w:ind w:left="5760" w:hanging="360"/>
      </w:pPr>
      <w:rPr>
        <w:rFonts w:ascii="Arial" w:hAnsi="Arial" w:hint="default"/>
      </w:rPr>
    </w:lvl>
    <w:lvl w:ilvl="8" w:tplc="4DECD3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511CE"/>
    <w:multiLevelType w:val="hybridMultilevel"/>
    <w:tmpl w:val="61601F66"/>
    <w:lvl w:ilvl="0" w:tplc="1F963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170"/>
    <w:multiLevelType w:val="hybridMultilevel"/>
    <w:tmpl w:val="398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0D15"/>
    <w:multiLevelType w:val="hybridMultilevel"/>
    <w:tmpl w:val="35CE9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0476B9"/>
    <w:multiLevelType w:val="hybridMultilevel"/>
    <w:tmpl w:val="6EBE0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12063F"/>
    <w:multiLevelType w:val="hybridMultilevel"/>
    <w:tmpl w:val="B96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919"/>
    <w:multiLevelType w:val="hybridMultilevel"/>
    <w:tmpl w:val="A3E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3CAE"/>
    <w:multiLevelType w:val="hybridMultilevel"/>
    <w:tmpl w:val="C55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1022"/>
    <w:multiLevelType w:val="hybridMultilevel"/>
    <w:tmpl w:val="B6008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C7D58"/>
    <w:multiLevelType w:val="hybridMultilevel"/>
    <w:tmpl w:val="ED0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A7824"/>
    <w:multiLevelType w:val="hybridMultilevel"/>
    <w:tmpl w:val="8B4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3"/>
  </w:num>
  <w:num w:numId="7">
    <w:abstractNumId w:val="10"/>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74"/>
    <w:rsid w:val="00001365"/>
    <w:rsid w:val="00001E14"/>
    <w:rsid w:val="00011077"/>
    <w:rsid w:val="000161BC"/>
    <w:rsid w:val="00017464"/>
    <w:rsid w:val="00030721"/>
    <w:rsid w:val="0003281A"/>
    <w:rsid w:val="000335B0"/>
    <w:rsid w:val="0003512F"/>
    <w:rsid w:val="0004747E"/>
    <w:rsid w:val="000549CA"/>
    <w:rsid w:val="00074F25"/>
    <w:rsid w:val="000768F4"/>
    <w:rsid w:val="00080FB4"/>
    <w:rsid w:val="00085461"/>
    <w:rsid w:val="00093CAF"/>
    <w:rsid w:val="000975BB"/>
    <w:rsid w:val="00097EA7"/>
    <w:rsid w:val="000A5BD0"/>
    <w:rsid w:val="000C3786"/>
    <w:rsid w:val="000C5DD3"/>
    <w:rsid w:val="000D1FA5"/>
    <w:rsid w:val="000D2EA9"/>
    <w:rsid w:val="000D35F3"/>
    <w:rsid w:val="000D697C"/>
    <w:rsid w:val="000F24D9"/>
    <w:rsid w:val="000F40A8"/>
    <w:rsid w:val="000F675D"/>
    <w:rsid w:val="00115011"/>
    <w:rsid w:val="001164B6"/>
    <w:rsid w:val="00116750"/>
    <w:rsid w:val="00135B10"/>
    <w:rsid w:val="00135B6D"/>
    <w:rsid w:val="001562E9"/>
    <w:rsid w:val="00194A19"/>
    <w:rsid w:val="001A15EB"/>
    <w:rsid w:val="001A457E"/>
    <w:rsid w:val="001B2A8B"/>
    <w:rsid w:val="001C32C2"/>
    <w:rsid w:val="001C6BC1"/>
    <w:rsid w:val="001C7F96"/>
    <w:rsid w:val="001D7B60"/>
    <w:rsid w:val="001E0A07"/>
    <w:rsid w:val="001E5F3A"/>
    <w:rsid w:val="001E692B"/>
    <w:rsid w:val="002037B3"/>
    <w:rsid w:val="00210013"/>
    <w:rsid w:val="00226D9E"/>
    <w:rsid w:val="00254454"/>
    <w:rsid w:val="00256739"/>
    <w:rsid w:val="00256FA5"/>
    <w:rsid w:val="00270CD4"/>
    <w:rsid w:val="002833F7"/>
    <w:rsid w:val="0029198B"/>
    <w:rsid w:val="002A7279"/>
    <w:rsid w:val="002C06D8"/>
    <w:rsid w:val="002C084C"/>
    <w:rsid w:val="002C0D94"/>
    <w:rsid w:val="002E2901"/>
    <w:rsid w:val="002E5E77"/>
    <w:rsid w:val="00310574"/>
    <w:rsid w:val="00311769"/>
    <w:rsid w:val="00311909"/>
    <w:rsid w:val="00312506"/>
    <w:rsid w:val="00316979"/>
    <w:rsid w:val="003172EE"/>
    <w:rsid w:val="00343ED8"/>
    <w:rsid w:val="003475A2"/>
    <w:rsid w:val="00357C60"/>
    <w:rsid w:val="00380E70"/>
    <w:rsid w:val="003A45AD"/>
    <w:rsid w:val="003B304F"/>
    <w:rsid w:val="003B428C"/>
    <w:rsid w:val="003D7E78"/>
    <w:rsid w:val="003F2682"/>
    <w:rsid w:val="003F5F9C"/>
    <w:rsid w:val="0041096A"/>
    <w:rsid w:val="004150F8"/>
    <w:rsid w:val="00423E41"/>
    <w:rsid w:val="00426AF3"/>
    <w:rsid w:val="00427D02"/>
    <w:rsid w:val="0046118C"/>
    <w:rsid w:val="00463501"/>
    <w:rsid w:val="00466481"/>
    <w:rsid w:val="0046735B"/>
    <w:rsid w:val="00472B8D"/>
    <w:rsid w:val="0047569A"/>
    <w:rsid w:val="00476E64"/>
    <w:rsid w:val="00481C8A"/>
    <w:rsid w:val="00494199"/>
    <w:rsid w:val="004B4F3A"/>
    <w:rsid w:val="004C40BE"/>
    <w:rsid w:val="004C425B"/>
    <w:rsid w:val="004D2A12"/>
    <w:rsid w:val="004E6095"/>
    <w:rsid w:val="004E6504"/>
    <w:rsid w:val="004E69B5"/>
    <w:rsid w:val="004F6C33"/>
    <w:rsid w:val="00502713"/>
    <w:rsid w:val="00533622"/>
    <w:rsid w:val="0053548E"/>
    <w:rsid w:val="005414C2"/>
    <w:rsid w:val="005418A1"/>
    <w:rsid w:val="00550E25"/>
    <w:rsid w:val="005563A4"/>
    <w:rsid w:val="00556D3E"/>
    <w:rsid w:val="00587BFC"/>
    <w:rsid w:val="00595752"/>
    <w:rsid w:val="005A400B"/>
    <w:rsid w:val="005B678B"/>
    <w:rsid w:val="005C0A18"/>
    <w:rsid w:val="005C2F39"/>
    <w:rsid w:val="005F56C9"/>
    <w:rsid w:val="00602CFC"/>
    <w:rsid w:val="006031C0"/>
    <w:rsid w:val="0063156C"/>
    <w:rsid w:val="00634613"/>
    <w:rsid w:val="00660B4B"/>
    <w:rsid w:val="00661E16"/>
    <w:rsid w:val="0067511F"/>
    <w:rsid w:val="006859D4"/>
    <w:rsid w:val="006A224A"/>
    <w:rsid w:val="006A2E47"/>
    <w:rsid w:val="006B4374"/>
    <w:rsid w:val="006E0985"/>
    <w:rsid w:val="006E6FB2"/>
    <w:rsid w:val="006F78E9"/>
    <w:rsid w:val="00706882"/>
    <w:rsid w:val="007078A4"/>
    <w:rsid w:val="00725F8F"/>
    <w:rsid w:val="00732049"/>
    <w:rsid w:val="007406DC"/>
    <w:rsid w:val="007464AA"/>
    <w:rsid w:val="0075239D"/>
    <w:rsid w:val="007524C8"/>
    <w:rsid w:val="00785E8D"/>
    <w:rsid w:val="007919CA"/>
    <w:rsid w:val="0079539E"/>
    <w:rsid w:val="007A2493"/>
    <w:rsid w:val="007A7492"/>
    <w:rsid w:val="007E132E"/>
    <w:rsid w:val="007E720C"/>
    <w:rsid w:val="007F47B0"/>
    <w:rsid w:val="007F56FC"/>
    <w:rsid w:val="007F6838"/>
    <w:rsid w:val="00804480"/>
    <w:rsid w:val="00817714"/>
    <w:rsid w:val="00834D1C"/>
    <w:rsid w:val="008353D6"/>
    <w:rsid w:val="00850E94"/>
    <w:rsid w:val="00877315"/>
    <w:rsid w:val="008921C1"/>
    <w:rsid w:val="008A2BBB"/>
    <w:rsid w:val="008B2021"/>
    <w:rsid w:val="008C2FEA"/>
    <w:rsid w:val="008D002D"/>
    <w:rsid w:val="008F1647"/>
    <w:rsid w:val="00906EA5"/>
    <w:rsid w:val="0093290E"/>
    <w:rsid w:val="00935D92"/>
    <w:rsid w:val="009470C1"/>
    <w:rsid w:val="00947A6B"/>
    <w:rsid w:val="00963384"/>
    <w:rsid w:val="00972CD8"/>
    <w:rsid w:val="00973CC4"/>
    <w:rsid w:val="009962C5"/>
    <w:rsid w:val="00997E1A"/>
    <w:rsid w:val="009A466A"/>
    <w:rsid w:val="009E5D83"/>
    <w:rsid w:val="009F7F1A"/>
    <w:rsid w:val="00A03A20"/>
    <w:rsid w:val="00A0612B"/>
    <w:rsid w:val="00A073F4"/>
    <w:rsid w:val="00A079F1"/>
    <w:rsid w:val="00A21CCE"/>
    <w:rsid w:val="00A2388F"/>
    <w:rsid w:val="00A3494C"/>
    <w:rsid w:val="00A40B70"/>
    <w:rsid w:val="00A4687C"/>
    <w:rsid w:val="00A46E8E"/>
    <w:rsid w:val="00A51088"/>
    <w:rsid w:val="00A526E6"/>
    <w:rsid w:val="00A66679"/>
    <w:rsid w:val="00A75F00"/>
    <w:rsid w:val="00A83FE1"/>
    <w:rsid w:val="00A9032D"/>
    <w:rsid w:val="00A9438A"/>
    <w:rsid w:val="00A95072"/>
    <w:rsid w:val="00AA3DE6"/>
    <w:rsid w:val="00AB56B1"/>
    <w:rsid w:val="00AC0CE8"/>
    <w:rsid w:val="00AD6668"/>
    <w:rsid w:val="00AE0896"/>
    <w:rsid w:val="00AE60F3"/>
    <w:rsid w:val="00AF209D"/>
    <w:rsid w:val="00AF36D6"/>
    <w:rsid w:val="00AF586A"/>
    <w:rsid w:val="00AF6540"/>
    <w:rsid w:val="00B02A39"/>
    <w:rsid w:val="00B0789D"/>
    <w:rsid w:val="00B1291C"/>
    <w:rsid w:val="00B21ED2"/>
    <w:rsid w:val="00B56751"/>
    <w:rsid w:val="00B573A7"/>
    <w:rsid w:val="00B76150"/>
    <w:rsid w:val="00B80D44"/>
    <w:rsid w:val="00B81D50"/>
    <w:rsid w:val="00B8285A"/>
    <w:rsid w:val="00B8457A"/>
    <w:rsid w:val="00B84D11"/>
    <w:rsid w:val="00B95E9F"/>
    <w:rsid w:val="00BA1882"/>
    <w:rsid w:val="00BA417E"/>
    <w:rsid w:val="00BB78ED"/>
    <w:rsid w:val="00BE2C5C"/>
    <w:rsid w:val="00BF1C2F"/>
    <w:rsid w:val="00BF248D"/>
    <w:rsid w:val="00BF613E"/>
    <w:rsid w:val="00C41C4F"/>
    <w:rsid w:val="00C71DB6"/>
    <w:rsid w:val="00C859D0"/>
    <w:rsid w:val="00C85A5F"/>
    <w:rsid w:val="00C879B0"/>
    <w:rsid w:val="00CB0FC6"/>
    <w:rsid w:val="00CB651B"/>
    <w:rsid w:val="00CD1C11"/>
    <w:rsid w:val="00CD3BE8"/>
    <w:rsid w:val="00CD3C7A"/>
    <w:rsid w:val="00CD4753"/>
    <w:rsid w:val="00CE391A"/>
    <w:rsid w:val="00D042BD"/>
    <w:rsid w:val="00D14CC3"/>
    <w:rsid w:val="00D3101A"/>
    <w:rsid w:val="00D45E3A"/>
    <w:rsid w:val="00D8545C"/>
    <w:rsid w:val="00DA20ED"/>
    <w:rsid w:val="00DC22E3"/>
    <w:rsid w:val="00DD16C1"/>
    <w:rsid w:val="00DE13E3"/>
    <w:rsid w:val="00DF5E13"/>
    <w:rsid w:val="00E1159D"/>
    <w:rsid w:val="00E1713F"/>
    <w:rsid w:val="00E33858"/>
    <w:rsid w:val="00EA0ED5"/>
    <w:rsid w:val="00EB3549"/>
    <w:rsid w:val="00EC08E7"/>
    <w:rsid w:val="00EE3187"/>
    <w:rsid w:val="00EE49D3"/>
    <w:rsid w:val="00EF10FA"/>
    <w:rsid w:val="00EF11BC"/>
    <w:rsid w:val="00F1185F"/>
    <w:rsid w:val="00F140AA"/>
    <w:rsid w:val="00F33261"/>
    <w:rsid w:val="00F50DA2"/>
    <w:rsid w:val="00F62DF7"/>
    <w:rsid w:val="00F8782D"/>
    <w:rsid w:val="00F9529B"/>
    <w:rsid w:val="00FA13FA"/>
    <w:rsid w:val="00FB690C"/>
    <w:rsid w:val="00FC2DB7"/>
    <w:rsid w:val="00FC4755"/>
    <w:rsid w:val="00FC62A2"/>
    <w:rsid w:val="00FC7571"/>
    <w:rsid w:val="00FE6EBE"/>
    <w:rsid w:val="00FF066F"/>
    <w:rsid w:val="00FF250B"/>
    <w:rsid w:val="00FF3FC9"/>
    <w:rsid w:val="00FF4E63"/>
    <w:rsid w:val="00FF598E"/>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959A"/>
  <w15:chartTrackingRefBased/>
  <w15:docId w15:val="{514485C8-D790-4BBE-BD59-983A7784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74"/>
    <w:pPr>
      <w:ind w:left="720"/>
      <w:contextualSpacing/>
    </w:pPr>
  </w:style>
  <w:style w:type="character" w:styleId="Hyperlink">
    <w:name w:val="Hyperlink"/>
    <w:basedOn w:val="DefaultParagraphFont"/>
    <w:uiPriority w:val="99"/>
    <w:unhideWhenUsed/>
    <w:rsid w:val="005414C2"/>
    <w:rPr>
      <w:color w:val="0000FF"/>
      <w:u w:val="single"/>
    </w:rPr>
  </w:style>
  <w:style w:type="character" w:styleId="FollowedHyperlink">
    <w:name w:val="FollowedHyperlink"/>
    <w:basedOn w:val="DefaultParagraphFont"/>
    <w:uiPriority w:val="99"/>
    <w:semiHidden/>
    <w:unhideWhenUsed/>
    <w:rsid w:val="001A457E"/>
    <w:rPr>
      <w:color w:val="954F72" w:themeColor="followedHyperlink"/>
      <w:u w:val="single"/>
    </w:rPr>
  </w:style>
  <w:style w:type="character" w:styleId="CommentReference">
    <w:name w:val="annotation reference"/>
    <w:basedOn w:val="DefaultParagraphFont"/>
    <w:uiPriority w:val="99"/>
    <w:semiHidden/>
    <w:unhideWhenUsed/>
    <w:rsid w:val="001E5F3A"/>
    <w:rPr>
      <w:sz w:val="16"/>
      <w:szCs w:val="16"/>
    </w:rPr>
  </w:style>
  <w:style w:type="paragraph" w:styleId="CommentText">
    <w:name w:val="annotation text"/>
    <w:basedOn w:val="Normal"/>
    <w:link w:val="CommentTextChar"/>
    <w:uiPriority w:val="99"/>
    <w:semiHidden/>
    <w:unhideWhenUsed/>
    <w:rsid w:val="001E5F3A"/>
    <w:pPr>
      <w:spacing w:line="240" w:lineRule="auto"/>
    </w:pPr>
    <w:rPr>
      <w:sz w:val="20"/>
      <w:szCs w:val="20"/>
    </w:rPr>
  </w:style>
  <w:style w:type="character" w:customStyle="1" w:styleId="CommentTextChar">
    <w:name w:val="Comment Text Char"/>
    <w:basedOn w:val="DefaultParagraphFont"/>
    <w:link w:val="CommentText"/>
    <w:uiPriority w:val="99"/>
    <w:semiHidden/>
    <w:rsid w:val="001E5F3A"/>
    <w:rPr>
      <w:sz w:val="20"/>
      <w:szCs w:val="20"/>
    </w:rPr>
  </w:style>
  <w:style w:type="paragraph" w:styleId="CommentSubject">
    <w:name w:val="annotation subject"/>
    <w:basedOn w:val="CommentText"/>
    <w:next w:val="CommentText"/>
    <w:link w:val="CommentSubjectChar"/>
    <w:uiPriority w:val="99"/>
    <w:semiHidden/>
    <w:unhideWhenUsed/>
    <w:rsid w:val="001E5F3A"/>
    <w:rPr>
      <w:b/>
      <w:bCs/>
    </w:rPr>
  </w:style>
  <w:style w:type="character" w:customStyle="1" w:styleId="CommentSubjectChar">
    <w:name w:val="Comment Subject Char"/>
    <w:basedOn w:val="CommentTextChar"/>
    <w:link w:val="CommentSubject"/>
    <w:uiPriority w:val="99"/>
    <w:semiHidden/>
    <w:rsid w:val="001E5F3A"/>
    <w:rPr>
      <w:b/>
      <w:bCs/>
      <w:sz w:val="20"/>
      <w:szCs w:val="20"/>
    </w:rPr>
  </w:style>
  <w:style w:type="paragraph" w:styleId="BalloonText">
    <w:name w:val="Balloon Text"/>
    <w:basedOn w:val="Normal"/>
    <w:link w:val="BalloonTextChar"/>
    <w:uiPriority w:val="99"/>
    <w:semiHidden/>
    <w:unhideWhenUsed/>
    <w:rsid w:val="001E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3B428C"/>
    <w:rPr>
      <w:color w:val="605E5C"/>
      <w:shd w:val="clear" w:color="auto" w:fill="E1DFDD"/>
    </w:rPr>
  </w:style>
  <w:style w:type="paragraph" w:styleId="FootnoteText">
    <w:name w:val="footnote text"/>
    <w:basedOn w:val="Normal"/>
    <w:link w:val="FootnoteTextChar"/>
    <w:uiPriority w:val="99"/>
    <w:semiHidden/>
    <w:unhideWhenUsed/>
    <w:rsid w:val="00317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2EE"/>
    <w:rPr>
      <w:sz w:val="20"/>
      <w:szCs w:val="20"/>
    </w:rPr>
  </w:style>
  <w:style w:type="character" w:styleId="FootnoteReference">
    <w:name w:val="footnote reference"/>
    <w:basedOn w:val="DefaultParagraphFont"/>
    <w:uiPriority w:val="99"/>
    <w:semiHidden/>
    <w:unhideWhenUsed/>
    <w:rsid w:val="0031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590">
      <w:bodyDiv w:val="1"/>
      <w:marLeft w:val="0"/>
      <w:marRight w:val="0"/>
      <w:marTop w:val="0"/>
      <w:marBottom w:val="0"/>
      <w:divBdr>
        <w:top w:val="none" w:sz="0" w:space="0" w:color="auto"/>
        <w:left w:val="none" w:sz="0" w:space="0" w:color="auto"/>
        <w:bottom w:val="none" w:sz="0" w:space="0" w:color="auto"/>
        <w:right w:val="none" w:sz="0" w:space="0" w:color="auto"/>
      </w:divBdr>
    </w:div>
    <w:div w:id="670109969">
      <w:bodyDiv w:val="1"/>
      <w:marLeft w:val="0"/>
      <w:marRight w:val="0"/>
      <w:marTop w:val="0"/>
      <w:marBottom w:val="0"/>
      <w:divBdr>
        <w:top w:val="none" w:sz="0" w:space="0" w:color="auto"/>
        <w:left w:val="none" w:sz="0" w:space="0" w:color="auto"/>
        <w:bottom w:val="none" w:sz="0" w:space="0" w:color="auto"/>
        <w:right w:val="none" w:sz="0" w:space="0" w:color="auto"/>
      </w:divBdr>
    </w:div>
    <w:div w:id="1151874354">
      <w:bodyDiv w:val="1"/>
      <w:marLeft w:val="0"/>
      <w:marRight w:val="0"/>
      <w:marTop w:val="0"/>
      <w:marBottom w:val="0"/>
      <w:divBdr>
        <w:top w:val="none" w:sz="0" w:space="0" w:color="auto"/>
        <w:left w:val="none" w:sz="0" w:space="0" w:color="auto"/>
        <w:bottom w:val="none" w:sz="0" w:space="0" w:color="auto"/>
        <w:right w:val="none" w:sz="0" w:space="0" w:color="auto"/>
      </w:divBdr>
      <w:divsChild>
        <w:div w:id="999164245">
          <w:marLeft w:val="288"/>
          <w:marRight w:val="0"/>
          <w:marTop w:val="154"/>
          <w:marBottom w:val="0"/>
          <w:divBdr>
            <w:top w:val="none" w:sz="0" w:space="0" w:color="auto"/>
            <w:left w:val="none" w:sz="0" w:space="0" w:color="auto"/>
            <w:bottom w:val="none" w:sz="0" w:space="0" w:color="auto"/>
            <w:right w:val="none" w:sz="0" w:space="0" w:color="auto"/>
          </w:divBdr>
        </w:div>
        <w:div w:id="1359234310">
          <w:marLeft w:val="720"/>
          <w:marRight w:val="0"/>
          <w:marTop w:val="134"/>
          <w:marBottom w:val="0"/>
          <w:divBdr>
            <w:top w:val="none" w:sz="0" w:space="0" w:color="auto"/>
            <w:left w:val="none" w:sz="0" w:space="0" w:color="auto"/>
            <w:bottom w:val="none" w:sz="0" w:space="0" w:color="auto"/>
            <w:right w:val="none" w:sz="0" w:space="0" w:color="auto"/>
          </w:divBdr>
        </w:div>
        <w:div w:id="112287699">
          <w:marLeft w:val="720"/>
          <w:marRight w:val="0"/>
          <w:marTop w:val="134"/>
          <w:marBottom w:val="0"/>
          <w:divBdr>
            <w:top w:val="none" w:sz="0" w:space="0" w:color="auto"/>
            <w:left w:val="none" w:sz="0" w:space="0" w:color="auto"/>
            <w:bottom w:val="none" w:sz="0" w:space="0" w:color="auto"/>
            <w:right w:val="none" w:sz="0" w:space="0" w:color="auto"/>
          </w:divBdr>
        </w:div>
        <w:div w:id="1015808231">
          <w:marLeft w:val="720"/>
          <w:marRight w:val="0"/>
          <w:marTop w:val="134"/>
          <w:marBottom w:val="0"/>
          <w:divBdr>
            <w:top w:val="none" w:sz="0" w:space="0" w:color="auto"/>
            <w:left w:val="none" w:sz="0" w:space="0" w:color="auto"/>
            <w:bottom w:val="none" w:sz="0" w:space="0" w:color="auto"/>
            <w:right w:val="none" w:sz="0" w:space="0" w:color="auto"/>
          </w:divBdr>
        </w:div>
        <w:div w:id="229121435">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F816-7590-44A2-986A-3AEF0DAB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 </cp:lastModifiedBy>
  <cp:revision>3</cp:revision>
  <dcterms:created xsi:type="dcterms:W3CDTF">2019-09-04T18:32:00Z</dcterms:created>
  <dcterms:modified xsi:type="dcterms:W3CDTF">2019-09-04T18:48:00Z</dcterms:modified>
</cp:coreProperties>
</file>