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09E3" w:rsidRPr="004A15E1" w:rsidRDefault="006D09E3" w:rsidP="006D09E3">
      <w:pPr>
        <w:jc w:val="center"/>
        <w:rPr>
          <w:u w:val="single"/>
        </w:rPr>
      </w:pPr>
      <w:r>
        <w:rPr>
          <w:u w:val="single"/>
        </w:rPr>
        <w:t>Research Supporting 24 HR RN Presence in Nursing Homes</w:t>
      </w:r>
    </w:p>
    <w:p w:rsidR="006D09E3" w:rsidRDefault="006D09E3" w:rsidP="006D09E3"/>
    <w:p w:rsidR="006D09E3" w:rsidRDefault="006D09E3" w:rsidP="006D09E3">
      <w:pPr>
        <w:pStyle w:val="ListParagraph"/>
        <w:numPr>
          <w:ilvl w:val="0"/>
          <w:numId w:val="2"/>
        </w:numPr>
      </w:pPr>
      <w:r>
        <w:t>There is mounting research evidence that higher levels of RN time is associated with positive outcomes and less RN time associated with negative outcomes:</w:t>
      </w:r>
    </w:p>
    <w:p w:rsidR="006D09E3" w:rsidRPr="00BF482D" w:rsidRDefault="006D09E3" w:rsidP="006D09E3"/>
    <w:p w:rsidR="006D09E3" w:rsidRPr="00BF482D" w:rsidRDefault="006D09E3" w:rsidP="006D09E3">
      <w:pPr>
        <w:numPr>
          <w:ilvl w:val="0"/>
          <w:numId w:val="1"/>
        </w:numPr>
        <w:spacing w:after="0"/>
      </w:pPr>
      <w:r w:rsidRPr="00BF482D">
        <w:t xml:space="preserve">Of particular relevance to today’s health care improvement initiatives is the positive effect of RNs in decreasing unnecessary hospitalizations of nursing home residents. (Decker 2008), (O’Malley, </w:t>
      </w:r>
      <w:proofErr w:type="spellStart"/>
      <w:r w:rsidRPr="00BF482D">
        <w:t>Caudry</w:t>
      </w:r>
      <w:proofErr w:type="spellEnd"/>
      <w:r w:rsidRPr="00BF482D">
        <w:t xml:space="preserve"> &amp; </w:t>
      </w:r>
      <w:proofErr w:type="spellStart"/>
      <w:r w:rsidRPr="00BF482D">
        <w:t>Brabowski</w:t>
      </w:r>
      <w:proofErr w:type="spellEnd"/>
      <w:r w:rsidRPr="00BF482D">
        <w:t xml:space="preserve"> 2011), (Dorr, Horn and </w:t>
      </w:r>
      <w:proofErr w:type="spellStart"/>
      <w:r w:rsidRPr="00BF482D">
        <w:t>Smout</w:t>
      </w:r>
      <w:proofErr w:type="spellEnd"/>
      <w:r w:rsidRPr="00BF482D">
        <w:t xml:space="preserve"> 2005), (Horn, </w:t>
      </w:r>
      <w:proofErr w:type="spellStart"/>
      <w:r w:rsidRPr="00BF482D">
        <w:t>Buerhaus</w:t>
      </w:r>
      <w:proofErr w:type="spellEnd"/>
      <w:r w:rsidRPr="00BF482D">
        <w:t xml:space="preserve">, Bergstrom and </w:t>
      </w:r>
      <w:proofErr w:type="spellStart"/>
      <w:r w:rsidRPr="00BF482D">
        <w:t>Smout</w:t>
      </w:r>
      <w:proofErr w:type="spellEnd"/>
      <w:r w:rsidRPr="00BF482D">
        <w:t xml:space="preserve"> 2005)</w:t>
      </w:r>
      <w:r>
        <w:t xml:space="preserve"> </w:t>
      </w:r>
      <w:r w:rsidRPr="00BF482D">
        <w:t>Most importantly,</w:t>
      </w:r>
      <w:r>
        <w:t xml:space="preserve"> one study</w:t>
      </w:r>
      <w:r w:rsidRPr="00BF482D">
        <w:t xml:space="preserve"> </w:t>
      </w:r>
      <w:r>
        <w:t>(</w:t>
      </w:r>
      <w:r w:rsidRPr="00BF482D">
        <w:t>Dorr et al</w:t>
      </w:r>
      <w:r>
        <w:t>)</w:t>
      </w:r>
      <w:r w:rsidRPr="00BF482D">
        <w:t xml:space="preserve"> showed that the savings in hospitalizations paid for the increased RN time. </w:t>
      </w:r>
    </w:p>
    <w:p w:rsidR="006D09E3" w:rsidRPr="00BF482D" w:rsidRDefault="006D09E3" w:rsidP="006D09E3"/>
    <w:p w:rsidR="006D09E3" w:rsidRDefault="006D09E3" w:rsidP="006D09E3">
      <w:pPr>
        <w:numPr>
          <w:ilvl w:val="0"/>
          <w:numId w:val="1"/>
        </w:numPr>
        <w:spacing w:after="0"/>
      </w:pPr>
      <w:r w:rsidRPr="00BF482D">
        <w:t>Higher RN levels significantly and positively affect quality resident outcomes including lower antipsychotic use, and fewer pressure ulcers, restrai</w:t>
      </w:r>
      <w:r>
        <w:t>nt use and cognitive decline. (</w:t>
      </w:r>
      <w:proofErr w:type="spellStart"/>
      <w:r w:rsidRPr="00BF482D">
        <w:t>Meret</w:t>
      </w:r>
      <w:proofErr w:type="spellEnd"/>
      <w:r w:rsidRPr="00BF482D">
        <w:t xml:space="preserve"> </w:t>
      </w:r>
      <w:proofErr w:type="spellStart"/>
      <w:r w:rsidRPr="00BF482D">
        <w:t>Hanke</w:t>
      </w:r>
      <w:proofErr w:type="spellEnd"/>
      <w:r w:rsidRPr="00BF482D">
        <w:t xml:space="preserve">, Neff, and  </w:t>
      </w:r>
      <w:proofErr w:type="spellStart"/>
      <w:r w:rsidRPr="00BF482D">
        <w:t>Mor</w:t>
      </w:r>
      <w:proofErr w:type="spellEnd"/>
      <w:r w:rsidRPr="00BF482D">
        <w:t xml:space="preserve"> 2004)</w:t>
      </w:r>
      <w:r>
        <w:t xml:space="preserve">; </w:t>
      </w:r>
      <w:r w:rsidRPr="00BF482D">
        <w:t xml:space="preserve">reduced </w:t>
      </w:r>
      <w:r>
        <w:t xml:space="preserve">incidences in </w:t>
      </w:r>
      <w:r w:rsidRPr="00BF482D">
        <w:t>four related conditions, catheterizations, Urinary Tract Infections(UTI) antibiotic use and  pre</w:t>
      </w:r>
      <w:r>
        <w:t>ssure sore development. (Cherry</w:t>
      </w:r>
      <w:r w:rsidRPr="00BF482D">
        <w:t>, 1991)</w:t>
      </w:r>
      <w:r>
        <w:t xml:space="preserve">; </w:t>
      </w:r>
      <w:r w:rsidRPr="00BF482D">
        <w:t>dec</w:t>
      </w:r>
      <w:r>
        <w:t>reased pressure ulcers and UTIs</w:t>
      </w:r>
      <w:r w:rsidRPr="00BF482D">
        <w:t xml:space="preserve"> (</w:t>
      </w:r>
      <w:proofErr w:type="spellStart"/>
      <w:r w:rsidRPr="00BF482D">
        <w:t>Konetzka</w:t>
      </w:r>
      <w:proofErr w:type="spellEnd"/>
      <w:r w:rsidRPr="00BF482D">
        <w:t>, Stearns, Park 2007)</w:t>
      </w:r>
      <w:r>
        <w:t>.</w:t>
      </w:r>
    </w:p>
    <w:p w:rsidR="006D09E3" w:rsidRDefault="006D09E3" w:rsidP="006D09E3"/>
    <w:p w:rsidR="006D09E3" w:rsidRDefault="006D09E3" w:rsidP="006D09E3">
      <w:pPr>
        <w:numPr>
          <w:ilvl w:val="0"/>
          <w:numId w:val="1"/>
        </w:numPr>
        <w:spacing w:after="0"/>
      </w:pPr>
      <w:r w:rsidRPr="00BF482D">
        <w:t xml:space="preserve">The presence of RNs not only affects resident outcomes, but also </w:t>
      </w:r>
      <w:r>
        <w:t>impacts</w:t>
      </w:r>
      <w:r w:rsidRPr="00BF482D">
        <w:t xml:space="preserve"> nursing home citations</w:t>
      </w:r>
      <w:r>
        <w:t xml:space="preserve"> for deficient practice by state survey a</w:t>
      </w:r>
      <w:r w:rsidRPr="00BF482D">
        <w:t>gencies.  Lower RN and total sta</w:t>
      </w:r>
      <w:r>
        <w:t xml:space="preserve">ffing levels are associated with </w:t>
      </w:r>
      <w:r w:rsidRPr="00BF482D">
        <w:t>more deficiencies</w:t>
      </w:r>
      <w:proofErr w:type="gramStart"/>
      <w:r>
        <w:t>.</w:t>
      </w:r>
      <w:r w:rsidRPr="00BF482D">
        <w:t>(</w:t>
      </w:r>
      <w:proofErr w:type="gramEnd"/>
      <w:r w:rsidRPr="00BF482D">
        <w:t>Johnson-Pau</w:t>
      </w:r>
      <w:r>
        <w:t xml:space="preserve">lson &amp; </w:t>
      </w:r>
      <w:proofErr w:type="spellStart"/>
      <w:r>
        <w:t>Infeld</w:t>
      </w:r>
      <w:proofErr w:type="spellEnd"/>
      <w:r>
        <w:t xml:space="preserve"> 1996), (</w:t>
      </w:r>
      <w:proofErr w:type="spellStart"/>
      <w:r>
        <w:t>Konetzka</w:t>
      </w:r>
      <w:proofErr w:type="spellEnd"/>
      <w:r w:rsidRPr="00BF482D">
        <w:t xml:space="preserve">, Yi, Norton, Kilpatrick 2004), (Castle, </w:t>
      </w:r>
      <w:proofErr w:type="spellStart"/>
      <w:r w:rsidRPr="00BF482D">
        <w:t>Eng</w:t>
      </w:r>
      <w:r>
        <w:t>berg</w:t>
      </w:r>
      <w:proofErr w:type="spellEnd"/>
      <w:r w:rsidRPr="00BF482D">
        <w:t xml:space="preserve">, 2010) (Harrington, Zimmerman, </w:t>
      </w:r>
      <w:proofErr w:type="spellStart"/>
      <w:r w:rsidRPr="00BF482D">
        <w:t>Karon</w:t>
      </w:r>
      <w:proofErr w:type="spellEnd"/>
      <w:r w:rsidRPr="00BF482D">
        <w:t xml:space="preserve">, Robinson, </w:t>
      </w:r>
      <w:proofErr w:type="spellStart"/>
      <w:r w:rsidRPr="00BF482D">
        <w:t>Beutel</w:t>
      </w:r>
      <w:proofErr w:type="spellEnd"/>
      <w:r>
        <w:t>, 2000).</w:t>
      </w:r>
    </w:p>
    <w:p w:rsidR="006D09E3" w:rsidRDefault="006D09E3" w:rsidP="006D09E3"/>
    <w:p w:rsidR="006D09E3" w:rsidRPr="00C15A11" w:rsidRDefault="006D09E3" w:rsidP="006D09E3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lang w:val="sv-SE"/>
        </w:rPr>
      </w:pPr>
      <w:r w:rsidRPr="00C15A11">
        <w:rPr>
          <w:lang w:val="sv-SE"/>
        </w:rPr>
        <w:t xml:space="preserve">In 2004, the Institute of Medicine report, </w:t>
      </w:r>
      <w:r w:rsidRPr="00C15A11">
        <w:rPr>
          <w:i/>
          <w:lang w:val="sv-SE"/>
        </w:rPr>
        <w:t>Keeping Patients Safe, Transforming the Nursing Workforce</w:t>
      </w:r>
      <w:r w:rsidRPr="00C15A11">
        <w:rPr>
          <w:lang w:val="sv-SE"/>
        </w:rPr>
        <w:t xml:space="preserve"> </w:t>
      </w:r>
      <w:r>
        <w:rPr>
          <w:lang w:val="sv-SE"/>
        </w:rPr>
        <w:t>r</w:t>
      </w:r>
      <w:r w:rsidRPr="00C15A11">
        <w:rPr>
          <w:lang w:val="sv-SE"/>
        </w:rPr>
        <w:t>ecommended updating the nursing home reguations to require at least one RN on duty at all times (</w:t>
      </w:r>
      <w:r>
        <w:rPr>
          <w:lang w:val="sv-SE"/>
        </w:rPr>
        <w:t xml:space="preserve">Institute of Medicine, 2004). </w:t>
      </w:r>
      <w:r w:rsidRPr="00C15A11">
        <w:rPr>
          <w:lang w:val="sv-SE"/>
        </w:rPr>
        <w:t>The presence of an R</w:t>
      </w:r>
      <w:r>
        <w:rPr>
          <w:lang w:val="sv-SE"/>
        </w:rPr>
        <w:t xml:space="preserve">N twenty-four hours a day, had </w:t>
      </w:r>
      <w:r w:rsidRPr="00C15A11">
        <w:rPr>
          <w:lang w:val="sv-SE"/>
        </w:rPr>
        <w:t>also been recommended by two prior IOM reports (I</w:t>
      </w:r>
      <w:r>
        <w:rPr>
          <w:lang w:val="sv-SE"/>
        </w:rPr>
        <w:t>nstitute of Medicine</w:t>
      </w:r>
      <w:r w:rsidRPr="00C15A11">
        <w:rPr>
          <w:lang w:val="sv-SE"/>
        </w:rPr>
        <w:t xml:space="preserve"> 1996, I</w:t>
      </w:r>
      <w:r>
        <w:rPr>
          <w:lang w:val="sv-SE"/>
        </w:rPr>
        <w:t>nstitute of Medicine</w:t>
      </w:r>
      <w:r w:rsidRPr="00C15A11">
        <w:rPr>
          <w:lang w:val="sv-SE"/>
        </w:rPr>
        <w:t xml:space="preserve"> 2001).</w:t>
      </w:r>
    </w:p>
    <w:p w:rsidR="006D09E3" w:rsidRDefault="006D09E3" w:rsidP="006D09E3"/>
    <w:p w:rsidR="006D0ACD" w:rsidRDefault="006D0ACD" w:rsidP="006D09E3">
      <w:pPr>
        <w:rPr>
          <w:b/>
        </w:rPr>
      </w:pPr>
    </w:p>
    <w:p w:rsidR="006D0ACD" w:rsidRDefault="006D0ACD" w:rsidP="006D09E3">
      <w:pPr>
        <w:rPr>
          <w:b/>
        </w:rPr>
      </w:pPr>
    </w:p>
    <w:p w:rsidR="006D0ACD" w:rsidRDefault="006D0ACD" w:rsidP="006D09E3">
      <w:pPr>
        <w:rPr>
          <w:b/>
        </w:rPr>
      </w:pPr>
    </w:p>
    <w:p w:rsidR="006D09E3" w:rsidRPr="00442BD4" w:rsidRDefault="006D09E3" w:rsidP="006D09E3">
      <w:pPr>
        <w:rPr>
          <w:b/>
        </w:rPr>
      </w:pPr>
      <w:r w:rsidRPr="00442BD4">
        <w:rPr>
          <w:b/>
        </w:rPr>
        <w:lastRenderedPageBreak/>
        <w:t>References:</w:t>
      </w:r>
      <w:bookmarkStart w:id="0" w:name="_GoBack"/>
      <w:bookmarkEnd w:id="0"/>
    </w:p>
    <w:p w:rsidR="006D09E3" w:rsidRPr="00BF482D" w:rsidRDefault="006D09E3" w:rsidP="006D09E3">
      <w:pPr>
        <w:ind w:left="360" w:hanging="360"/>
        <w:rPr>
          <w:spacing w:val="-10"/>
        </w:rPr>
      </w:pPr>
      <w:r w:rsidRPr="00BF482D">
        <w:rPr>
          <w:spacing w:val="-10"/>
        </w:rPr>
        <w:t xml:space="preserve">Castle, N., and J. </w:t>
      </w:r>
      <w:proofErr w:type="spellStart"/>
      <w:r w:rsidRPr="00BF482D">
        <w:rPr>
          <w:spacing w:val="-10"/>
        </w:rPr>
        <w:t>Engberg</w:t>
      </w:r>
      <w:proofErr w:type="spellEnd"/>
      <w:r w:rsidRPr="00BF482D">
        <w:rPr>
          <w:spacing w:val="-10"/>
        </w:rPr>
        <w:t xml:space="preserve">, 2010.  “An Examination of Special Focus Facility Nursing Homes.” </w:t>
      </w:r>
      <w:proofErr w:type="gramStart"/>
      <w:r w:rsidRPr="00BF482D">
        <w:rPr>
          <w:i/>
          <w:spacing w:val="-10"/>
        </w:rPr>
        <w:t>Gerontologist.,</w:t>
      </w:r>
      <w:proofErr w:type="gramEnd"/>
      <w:r w:rsidRPr="00BF482D">
        <w:rPr>
          <w:i/>
          <w:spacing w:val="-10"/>
        </w:rPr>
        <w:t xml:space="preserve"> 5</w:t>
      </w:r>
      <w:r>
        <w:rPr>
          <w:spacing w:val="-10"/>
        </w:rPr>
        <w:t>0 (3): 400-7</w:t>
      </w:r>
    </w:p>
    <w:p w:rsidR="006D09E3" w:rsidRPr="00BF482D" w:rsidRDefault="006D09E3" w:rsidP="006D09E3">
      <w:pPr>
        <w:spacing w:after="80"/>
        <w:ind w:left="284" w:hanging="284"/>
        <w:rPr>
          <w:lang w:val="sv-SE"/>
        </w:rPr>
      </w:pPr>
      <w:r w:rsidRPr="00BF482D">
        <w:rPr>
          <w:lang w:val="sv-SE"/>
        </w:rPr>
        <w:t xml:space="preserve">Cherry, R.L..(1991) ”Agents of nursing home quality of care: Ombudsman and staff ratios revisited.” </w:t>
      </w:r>
      <w:r w:rsidRPr="00BF482D">
        <w:rPr>
          <w:i/>
          <w:lang w:val="sv-SE"/>
        </w:rPr>
        <w:t>The Gerontologist,</w:t>
      </w:r>
      <w:r w:rsidRPr="00BF482D">
        <w:rPr>
          <w:lang w:val="sv-SE"/>
        </w:rPr>
        <w:t xml:space="preserve"> 31, 302-308.</w:t>
      </w:r>
    </w:p>
    <w:p w:rsidR="006D09E3" w:rsidRDefault="006D09E3" w:rsidP="006D09E3">
      <w:pPr>
        <w:ind w:left="360" w:hanging="360"/>
      </w:pPr>
      <w:r w:rsidRPr="00BF482D">
        <w:t xml:space="preserve">Decker, F.H. 2008.  “The Relationship of Nursing Staff to the Hospitalization of Nursing Home Residents,” </w:t>
      </w:r>
      <w:r w:rsidRPr="00BF482D">
        <w:rPr>
          <w:i/>
        </w:rPr>
        <w:t>Research, Nursing and Health.</w:t>
      </w:r>
      <w:r w:rsidRPr="00BF482D">
        <w:t xml:space="preserve">  31 (3):238-51.</w:t>
      </w:r>
    </w:p>
    <w:p w:rsidR="006D09E3" w:rsidRDefault="006D09E3" w:rsidP="006D09E3">
      <w:pPr>
        <w:ind w:left="360" w:hanging="360"/>
      </w:pPr>
      <w:r w:rsidRPr="00BF482D">
        <w:t xml:space="preserve">Dorr, D.A., S.D. Horn, and R.J. </w:t>
      </w:r>
      <w:proofErr w:type="spellStart"/>
      <w:r w:rsidRPr="00BF482D">
        <w:t>Smout</w:t>
      </w:r>
      <w:proofErr w:type="spellEnd"/>
      <w:r w:rsidRPr="00BF482D">
        <w:t xml:space="preserve">. 2005. Cost Analysis of Nursing Home Registered Nurse Staffing Times. J. </w:t>
      </w:r>
      <w:r w:rsidRPr="00BF482D">
        <w:rPr>
          <w:i/>
        </w:rPr>
        <w:t xml:space="preserve">American Geriatric Society. </w:t>
      </w:r>
      <w:r w:rsidRPr="00BF482D">
        <w:t xml:space="preserve"> 53 (5):840-5.</w:t>
      </w:r>
    </w:p>
    <w:p w:rsidR="006D09E3" w:rsidRDefault="006D09E3" w:rsidP="006D09E3">
      <w:pPr>
        <w:ind w:left="360" w:hanging="360"/>
      </w:pPr>
      <w:r w:rsidRPr="00BF482D">
        <w:t xml:space="preserve">Harrington, C., Zimmerman, D., </w:t>
      </w:r>
      <w:proofErr w:type="spellStart"/>
      <w:r w:rsidRPr="00BF482D">
        <w:t>Karon</w:t>
      </w:r>
      <w:proofErr w:type="spellEnd"/>
      <w:r w:rsidRPr="00BF482D">
        <w:t xml:space="preserve">, S.L., Robinson, J., and </w:t>
      </w:r>
      <w:proofErr w:type="spellStart"/>
      <w:r w:rsidRPr="00BF482D">
        <w:t>Beutel</w:t>
      </w:r>
      <w:proofErr w:type="spellEnd"/>
      <w:r w:rsidRPr="00BF482D">
        <w:t xml:space="preserve">, P. 2000. “Nursing Home Staffing and Its Relationship to Deficiencies.”  </w:t>
      </w:r>
      <w:r w:rsidRPr="00BF482D">
        <w:rPr>
          <w:i/>
        </w:rPr>
        <w:t>The Journal of Gerontology: Social Sciences.</w:t>
      </w:r>
      <w:r w:rsidRPr="00BF482D">
        <w:t xml:space="preserve">  55B (5):S278-286.</w:t>
      </w:r>
    </w:p>
    <w:p w:rsidR="006D09E3" w:rsidRDefault="006D09E3" w:rsidP="006D09E3">
      <w:pPr>
        <w:ind w:left="360" w:hanging="360"/>
      </w:pPr>
      <w:r w:rsidRPr="00BF482D">
        <w:t xml:space="preserve">Horn, S.D., P. </w:t>
      </w:r>
      <w:proofErr w:type="spellStart"/>
      <w:r w:rsidRPr="00BF482D">
        <w:t>Buerhaus</w:t>
      </w:r>
      <w:proofErr w:type="spellEnd"/>
      <w:r w:rsidRPr="00BF482D">
        <w:t xml:space="preserve">, N. Bergstrom, and R.J. </w:t>
      </w:r>
      <w:proofErr w:type="spellStart"/>
      <w:r w:rsidRPr="00BF482D">
        <w:t>Smout</w:t>
      </w:r>
      <w:proofErr w:type="spellEnd"/>
      <w:r w:rsidRPr="00BF482D">
        <w:t xml:space="preserve">.  2005.  “RN Staffing Time and Outcomes of Long-stay Nursing Home Residents:  Pressure Ulcers and Other Adverse Outcomes Are Less Likely as RNs Spend More Time on Direct Patient Care”.  </w:t>
      </w:r>
      <w:r w:rsidRPr="00BF482D">
        <w:rPr>
          <w:i/>
        </w:rPr>
        <w:t>American J. of Nursing.</w:t>
      </w:r>
      <w:r w:rsidRPr="00BF482D">
        <w:t xml:space="preserve">  105 (11):58-70.</w:t>
      </w:r>
    </w:p>
    <w:p w:rsidR="006D09E3" w:rsidRDefault="006D09E3" w:rsidP="006D09E3">
      <w:pPr>
        <w:ind w:left="360" w:hanging="360"/>
      </w:pPr>
      <w:r w:rsidRPr="00BF482D">
        <w:t>Institute of Medicine</w:t>
      </w:r>
      <w:proofErr w:type="gramStart"/>
      <w:r w:rsidRPr="00BF482D">
        <w:t>.(</w:t>
      </w:r>
      <w:proofErr w:type="gramEnd"/>
      <w:r w:rsidRPr="00BF482D">
        <w:t xml:space="preserve">2001) </w:t>
      </w:r>
      <w:r w:rsidRPr="00BF482D">
        <w:rPr>
          <w:i/>
        </w:rPr>
        <w:t>Improving the quality of long term care</w:t>
      </w:r>
      <w:r w:rsidRPr="00BF482D">
        <w:t>. Washington, DC Academy of Medicine.</w:t>
      </w:r>
    </w:p>
    <w:p w:rsidR="006D09E3" w:rsidRPr="00BF482D" w:rsidRDefault="006D09E3" w:rsidP="006D09E3">
      <w:pPr>
        <w:ind w:left="360" w:hanging="360"/>
      </w:pPr>
      <w:r w:rsidRPr="00BF482D">
        <w:t>Institute of Medicine.  200</w:t>
      </w:r>
      <w:r>
        <w:t>4</w:t>
      </w:r>
      <w:r w:rsidRPr="00BF482D">
        <w:t xml:space="preserve">.  </w:t>
      </w:r>
      <w:r w:rsidRPr="00BF482D">
        <w:rPr>
          <w:i/>
        </w:rPr>
        <w:t xml:space="preserve">Keeping patients safe:  transforming the work environment of nurses.  </w:t>
      </w:r>
      <w:r w:rsidRPr="00BF482D">
        <w:t>Washington, DC:  National Academy of Medicine.</w:t>
      </w:r>
    </w:p>
    <w:p w:rsidR="006D09E3" w:rsidRPr="00BF482D" w:rsidRDefault="006D09E3" w:rsidP="006D09E3">
      <w:pPr>
        <w:ind w:left="360" w:hanging="360"/>
      </w:pPr>
      <w:r w:rsidRPr="00BF482D">
        <w:t xml:space="preserve">Institute of Medicine 1996, </w:t>
      </w:r>
      <w:r w:rsidRPr="00BF482D">
        <w:rPr>
          <w:i/>
        </w:rPr>
        <w:t>Nursing staff in hospitals and nursing homes: Is it adequate</w:t>
      </w:r>
      <w:proofErr w:type="gramStart"/>
      <w:r w:rsidRPr="00BF482D">
        <w:rPr>
          <w:i/>
        </w:rPr>
        <w:t>?.</w:t>
      </w:r>
      <w:proofErr w:type="gramEnd"/>
      <w:r w:rsidRPr="00BF482D">
        <w:rPr>
          <w:i/>
        </w:rPr>
        <w:t xml:space="preserve"> </w:t>
      </w:r>
      <w:r w:rsidRPr="00BF482D">
        <w:t>Washington, DC National Academy of Medicine</w:t>
      </w:r>
    </w:p>
    <w:p w:rsidR="006D09E3" w:rsidRPr="00BF482D" w:rsidRDefault="006D09E3" w:rsidP="006D09E3">
      <w:pPr>
        <w:shd w:val="clear" w:color="auto" w:fill="FFFFFF"/>
        <w:ind w:left="360" w:hanging="360"/>
        <w:rPr>
          <w:rFonts w:eastAsia="MS Mincho"/>
        </w:rPr>
      </w:pPr>
      <w:r w:rsidRPr="00BF482D">
        <w:rPr>
          <w:rFonts w:eastAsia="MS Mincho"/>
        </w:rPr>
        <w:t>Johnson-</w:t>
      </w:r>
      <w:proofErr w:type="spellStart"/>
      <w:r w:rsidRPr="00BF482D">
        <w:rPr>
          <w:rFonts w:eastAsia="MS Mincho"/>
        </w:rPr>
        <w:t>Pawlson</w:t>
      </w:r>
      <w:proofErr w:type="spellEnd"/>
      <w:r w:rsidRPr="00BF482D">
        <w:rPr>
          <w:rFonts w:eastAsia="MS Mincho"/>
        </w:rPr>
        <w:t xml:space="preserve">, J. and D. </w:t>
      </w:r>
      <w:proofErr w:type="spellStart"/>
      <w:r w:rsidRPr="00BF482D">
        <w:rPr>
          <w:rFonts w:eastAsia="MS Mincho"/>
        </w:rPr>
        <w:t>Infeld</w:t>
      </w:r>
      <w:proofErr w:type="spellEnd"/>
      <w:r w:rsidRPr="00BF482D">
        <w:rPr>
          <w:rFonts w:eastAsia="MS Mincho"/>
        </w:rPr>
        <w:t xml:space="preserve">. 1996.  “Nurse Staffing and Quality of Care in Nursing Facilities.”  </w:t>
      </w:r>
      <w:r w:rsidRPr="00BF482D">
        <w:rPr>
          <w:rFonts w:eastAsia="MS Mincho"/>
          <w:i/>
        </w:rPr>
        <w:t xml:space="preserve">J. </w:t>
      </w:r>
      <w:proofErr w:type="spellStart"/>
      <w:r w:rsidRPr="00BF482D">
        <w:rPr>
          <w:rFonts w:eastAsia="MS Mincho"/>
          <w:i/>
        </w:rPr>
        <w:t>Gerontological</w:t>
      </w:r>
      <w:proofErr w:type="spellEnd"/>
      <w:r w:rsidRPr="00BF482D">
        <w:rPr>
          <w:rFonts w:eastAsia="MS Mincho"/>
          <w:i/>
        </w:rPr>
        <w:t xml:space="preserve"> Nursing.</w:t>
      </w:r>
      <w:r w:rsidRPr="00BF482D">
        <w:rPr>
          <w:rFonts w:eastAsia="MS Mincho"/>
        </w:rPr>
        <w:t xml:space="preserve"> 22:36-45.</w:t>
      </w:r>
    </w:p>
    <w:p w:rsidR="006D09E3" w:rsidRPr="00BF482D" w:rsidRDefault="006D09E3" w:rsidP="006D09E3">
      <w:pPr>
        <w:ind w:left="360" w:hanging="360"/>
      </w:pPr>
      <w:proofErr w:type="spellStart"/>
      <w:r w:rsidRPr="00BF482D">
        <w:t>Konetzka</w:t>
      </w:r>
      <w:proofErr w:type="spellEnd"/>
      <w:r w:rsidRPr="00BF482D">
        <w:t>, R.T., D. Yi, E.C. Norton, and K.E. Kilpatrick</w:t>
      </w:r>
      <w:proofErr w:type="gramStart"/>
      <w:r w:rsidRPr="00BF482D">
        <w:t>,  2004</w:t>
      </w:r>
      <w:proofErr w:type="gramEnd"/>
      <w:r w:rsidRPr="00BF482D">
        <w:t xml:space="preserve">.  “Effects of Medicare Payment Changes on Nursing Home Staffing and Deficiencies.”  </w:t>
      </w:r>
      <w:r w:rsidRPr="00BF482D">
        <w:rPr>
          <w:i/>
        </w:rPr>
        <w:t xml:space="preserve">Health Services Research. </w:t>
      </w:r>
      <w:r w:rsidRPr="00BF482D">
        <w:t xml:space="preserve"> 39 (3):463-487.</w:t>
      </w:r>
    </w:p>
    <w:p w:rsidR="006D09E3" w:rsidRPr="00BF482D" w:rsidRDefault="006D09E3" w:rsidP="006D09E3">
      <w:pPr>
        <w:spacing w:after="80"/>
        <w:ind w:left="284" w:hanging="284"/>
        <w:rPr>
          <w:lang w:val="sv-SE"/>
        </w:rPr>
      </w:pPr>
      <w:r>
        <w:rPr>
          <w:lang w:val="sv-SE"/>
        </w:rPr>
        <w:t>Konetz</w:t>
      </w:r>
      <w:r w:rsidRPr="00BF482D">
        <w:rPr>
          <w:lang w:val="sv-SE"/>
        </w:rPr>
        <w:t xml:space="preserve">ka,R.T., Stearns, S.C., Park, J. (2008) ”The Staffing-Outcomes Relationship in Nursing Homes.” </w:t>
      </w:r>
      <w:r w:rsidRPr="00BF482D">
        <w:rPr>
          <w:i/>
          <w:lang w:val="sv-SE"/>
        </w:rPr>
        <w:t>Health Services Research</w:t>
      </w:r>
      <w:r w:rsidRPr="00BF482D">
        <w:rPr>
          <w:lang w:val="sv-SE"/>
        </w:rPr>
        <w:t>, 43(3):1025-1042.</w:t>
      </w:r>
    </w:p>
    <w:p w:rsidR="000F1C2A" w:rsidRPr="006D09E3" w:rsidRDefault="006D09E3" w:rsidP="006D09E3">
      <w:pPr>
        <w:ind w:left="360" w:hanging="360"/>
      </w:pPr>
      <w:r w:rsidRPr="00BF482D">
        <w:t xml:space="preserve">O’Malley, A.J., D.J. </w:t>
      </w:r>
      <w:proofErr w:type="spellStart"/>
      <w:r w:rsidRPr="00BF482D">
        <w:t>Caudry</w:t>
      </w:r>
      <w:proofErr w:type="spellEnd"/>
      <w:r w:rsidRPr="00BF482D">
        <w:t>, and D.C. Grabowski. 2011.  “Predictors of Nursing Home Residents’ Time to Hospitalization”</w:t>
      </w:r>
      <w:r w:rsidRPr="00BF482D">
        <w:rPr>
          <w:i/>
        </w:rPr>
        <w:t>.  Health Services Research</w:t>
      </w:r>
      <w:r w:rsidRPr="00BF482D">
        <w:t>.  46 (1):82-104.</w:t>
      </w:r>
    </w:p>
    <w:sectPr w:rsidR="000F1C2A" w:rsidRPr="006D09E3" w:rsidSect="00E42CFB">
      <w:headerReference w:type="default" r:id="rId7"/>
      <w:footerReference w:type="default" r:id="rId8"/>
      <w:pgSz w:w="12240" w:h="15840"/>
      <w:pgMar w:top="1440" w:right="1800" w:bottom="1440" w:left="180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7D" w:rsidRDefault="00BC2A7D" w:rsidP="000F1C2A">
      <w:pPr>
        <w:spacing w:after="0" w:line="240" w:lineRule="auto"/>
      </w:pPr>
      <w:r>
        <w:separator/>
      </w:r>
    </w:p>
  </w:endnote>
  <w:endnote w:type="continuationSeparator" w:id="0">
    <w:p w:rsidR="00BC2A7D" w:rsidRDefault="00BC2A7D" w:rsidP="000F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A" w:rsidRDefault="009956E8">
    <w:pPr>
      <w:pStyle w:val="Normal1"/>
      <w:ind w:left="-1259" w:right="-719"/>
      <w:jc w:val="center"/>
    </w:pPr>
    <w:r>
      <w:rPr>
        <w:rFonts w:ascii="Arial Narrow" w:eastAsia="Arial Narrow" w:hAnsi="Arial Narrow" w:cs="Arial Narrow"/>
        <w:i/>
        <w:color w:val="0B2E82"/>
        <w:sz w:val="20"/>
      </w:rPr>
      <w:t>The National Consumer Voice for Quality Long-Term Care (formerly NCCNHR) is a 501(c</w:t>
    </w:r>
    <w:proofErr w:type="gramStart"/>
    <w:r>
      <w:rPr>
        <w:rFonts w:ascii="Arial Narrow" w:eastAsia="Arial Narrow" w:hAnsi="Arial Narrow" w:cs="Arial Narrow"/>
        <w:i/>
        <w:color w:val="0B2E82"/>
        <w:sz w:val="20"/>
      </w:rPr>
      <w:t>)(</w:t>
    </w:r>
    <w:proofErr w:type="gramEnd"/>
    <w:r>
      <w:rPr>
        <w:rFonts w:ascii="Arial Narrow" w:eastAsia="Arial Narrow" w:hAnsi="Arial Narrow" w:cs="Arial Narrow"/>
        <w:i/>
        <w:color w:val="0B2E82"/>
        <w:sz w:val="20"/>
      </w:rPr>
      <w:t>3) nonprofit membership organization</w:t>
    </w:r>
  </w:p>
  <w:p w:rsidR="000F1C2A" w:rsidRDefault="009956E8">
    <w:pPr>
      <w:pStyle w:val="Normal1"/>
      <w:ind w:left="-1259" w:right="-719"/>
      <w:jc w:val="center"/>
    </w:pPr>
    <w:proofErr w:type="gramStart"/>
    <w:r>
      <w:rPr>
        <w:rFonts w:ascii="Arial Narrow" w:eastAsia="Arial Narrow" w:hAnsi="Arial Narrow" w:cs="Arial Narrow"/>
        <w:i/>
        <w:color w:val="0B2E82"/>
        <w:sz w:val="20"/>
      </w:rPr>
      <w:t>founded</w:t>
    </w:r>
    <w:proofErr w:type="gramEnd"/>
    <w:r>
      <w:rPr>
        <w:rFonts w:ascii="Arial Narrow" w:eastAsia="Arial Narrow" w:hAnsi="Arial Narrow" w:cs="Arial Narrow"/>
        <w:i/>
        <w:color w:val="0B2E82"/>
        <w:sz w:val="20"/>
      </w:rPr>
      <w:t xml:space="preserve"> in 1975 by Elma L. Holder that advocates for quality care and quality of life for consumers in all long-term-care settings.</w:t>
    </w:r>
  </w:p>
  <w:p w:rsidR="000F1C2A" w:rsidRDefault="009956E8">
    <w:pPr>
      <w:pStyle w:val="Normal1"/>
      <w:ind w:left="-1259" w:right="-719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margin">
            <wp:posOffset>-431799</wp:posOffset>
          </wp:positionH>
          <wp:positionV relativeFrom="paragraph">
            <wp:posOffset>50800</wp:posOffset>
          </wp:positionV>
          <wp:extent cx="5943600" cy="12700"/>
          <wp:effectExtent l="0" t="0" r="0" b="0"/>
          <wp:wrapNone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1C2A" w:rsidRDefault="009956E8">
    <w:pPr>
      <w:pStyle w:val="Normal1"/>
      <w:ind w:left="-1259" w:right="-719"/>
      <w:jc w:val="center"/>
    </w:pPr>
    <w:r>
      <w:rPr>
        <w:rFonts w:ascii="Arial Narrow" w:eastAsia="Arial Narrow" w:hAnsi="Arial Narrow" w:cs="Arial Narrow"/>
        <w:color w:val="0B2E82"/>
        <w:sz w:val="20"/>
      </w:rPr>
      <w:t>1001 Connecticut Avenue, NW • Suite 425 • Washington, DC 20036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7D" w:rsidRDefault="00BC2A7D" w:rsidP="000F1C2A">
      <w:pPr>
        <w:spacing w:after="0" w:line="240" w:lineRule="auto"/>
      </w:pPr>
      <w:r>
        <w:separator/>
      </w:r>
    </w:p>
  </w:footnote>
  <w:footnote w:type="continuationSeparator" w:id="0">
    <w:p w:rsidR="00BC2A7D" w:rsidRDefault="00BC2A7D" w:rsidP="000F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2A" w:rsidRDefault="00E42CFB" w:rsidP="00E42CFB">
    <w:pPr>
      <w:pStyle w:val="Normal1"/>
      <w:tabs>
        <w:tab w:val="left" w:pos="4425"/>
        <w:tab w:val="center" w:pos="6210"/>
        <w:tab w:val="right" w:pos="10080"/>
      </w:tabs>
      <w:ind w:left="-719" w:right="-899" w:firstLine="3600"/>
    </w:pPr>
    <w:r>
      <w:rPr>
        <w:rFonts w:ascii="Arial Narrow" w:eastAsia="Arial Narrow" w:hAnsi="Arial Narrow" w:cs="Arial Narrow"/>
        <w:noProof/>
        <w:color w:val="0B2E82"/>
        <w:sz w:val="20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margin">
            <wp:posOffset>3086100</wp:posOffset>
          </wp:positionH>
          <wp:positionV relativeFrom="paragraph">
            <wp:posOffset>-1323975</wp:posOffset>
          </wp:positionV>
          <wp:extent cx="3124200" cy="2209800"/>
          <wp:effectExtent l="19050" t="0" r="0" b="0"/>
          <wp:wrapNone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4200" cy="220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B2E82"/>
        <w:sz w:val="20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-990600</wp:posOffset>
          </wp:positionH>
          <wp:positionV relativeFrom="paragraph">
            <wp:posOffset>-542925</wp:posOffset>
          </wp:positionV>
          <wp:extent cx="3714750" cy="790575"/>
          <wp:effectExtent l="19050" t="0" r="0" b="0"/>
          <wp:wrapNone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0B2E82"/>
        <w:sz w:val="20"/>
      </w:rPr>
      <w:tab/>
    </w:r>
    <w:r>
      <w:rPr>
        <w:rFonts w:ascii="Arial Narrow" w:eastAsia="Arial Narrow" w:hAnsi="Arial Narrow" w:cs="Arial Narrow"/>
        <w:color w:val="0B2E82"/>
        <w:sz w:val="20"/>
      </w:rPr>
      <w:tab/>
    </w:r>
    <w:r w:rsidR="009956E8">
      <w:rPr>
        <w:rFonts w:ascii="Arial Narrow" w:eastAsia="Arial Narrow" w:hAnsi="Arial Narrow" w:cs="Arial Narrow"/>
        <w:color w:val="0B2E82"/>
        <w:sz w:val="20"/>
      </w:rPr>
      <w:t xml:space="preserve">                                                                                                            </w:t>
    </w:r>
  </w:p>
  <w:p w:rsidR="000F1C2A" w:rsidRDefault="000F1C2A">
    <w:pPr>
      <w:pStyle w:val="Normal1"/>
      <w:tabs>
        <w:tab w:val="right" w:pos="10080"/>
      </w:tabs>
      <w:ind w:right="-89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145"/>
    <w:multiLevelType w:val="hybridMultilevel"/>
    <w:tmpl w:val="5F0C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C2C80"/>
    <w:multiLevelType w:val="hybridMultilevel"/>
    <w:tmpl w:val="A9F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1462B"/>
    <w:rsid w:val="000F1C2A"/>
    <w:rsid w:val="003505D0"/>
    <w:rsid w:val="004A69CF"/>
    <w:rsid w:val="005A0138"/>
    <w:rsid w:val="006D09E3"/>
    <w:rsid w:val="006D0ACD"/>
    <w:rsid w:val="007D41C7"/>
    <w:rsid w:val="009956E8"/>
    <w:rsid w:val="00A444AD"/>
    <w:rsid w:val="00A86143"/>
    <w:rsid w:val="00BC2A7D"/>
    <w:rsid w:val="00D14C64"/>
    <w:rsid w:val="00D86D49"/>
    <w:rsid w:val="00E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9D31A-732E-4131-8360-9C8C1CE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38"/>
  </w:style>
  <w:style w:type="paragraph" w:styleId="Heading1">
    <w:name w:val="heading 1"/>
    <w:basedOn w:val="Normal1"/>
    <w:next w:val="Normal1"/>
    <w:rsid w:val="000F1C2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F1C2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F1C2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F1C2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F1C2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F1C2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1C2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0F1C2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F1C2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D86D4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86D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CFB"/>
  </w:style>
  <w:style w:type="paragraph" w:styleId="Footer">
    <w:name w:val="footer"/>
    <w:basedOn w:val="Normal"/>
    <w:link w:val="FooterChar"/>
    <w:uiPriority w:val="99"/>
    <w:semiHidden/>
    <w:unhideWhenUsed/>
    <w:rsid w:val="00E4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CFB"/>
  </w:style>
  <w:style w:type="paragraph" w:styleId="NormalWeb">
    <w:name w:val="Normal (Web)"/>
    <w:basedOn w:val="Normal"/>
    <w:uiPriority w:val="99"/>
    <w:semiHidden/>
    <w:unhideWhenUsed/>
    <w:rsid w:val="004A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StaffignCampaignLetterhead.docx</vt:lpstr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StaffignCampaignLetterhead.docx</dc:title>
  <dc:creator>rgrant</dc:creator>
  <cp:lastModifiedBy>Robyn</cp:lastModifiedBy>
  <cp:revision>2</cp:revision>
  <dcterms:created xsi:type="dcterms:W3CDTF">2015-02-04T21:00:00Z</dcterms:created>
  <dcterms:modified xsi:type="dcterms:W3CDTF">2015-02-04T21:00:00Z</dcterms:modified>
</cp:coreProperties>
</file>